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B72F" w14:textId="77777777" w:rsidR="00F30BEB" w:rsidRDefault="004E5878" w:rsidP="004E5878">
      <w:pPr>
        <w:spacing w:line="360" w:lineRule="auto"/>
        <w:rPr>
          <w:b/>
          <w:bCs/>
          <w:sz w:val="30"/>
          <w:szCs w:val="30"/>
        </w:rPr>
      </w:pPr>
      <w:r w:rsidRPr="004E5878">
        <w:rPr>
          <w:b/>
          <w:bCs/>
          <w:sz w:val="30"/>
          <w:szCs w:val="30"/>
        </w:rPr>
        <w:t>Bajas en las Residencias de Medicina Familiar durante el Curso Escolar 2024–2025 en la Provincia de Holguín: Análisis Comparativo por Municipio, Causas y Tendencias</w:t>
      </w:r>
    </w:p>
    <w:p w14:paraId="038C564C" w14:textId="77777777" w:rsidR="004E5878" w:rsidRPr="004E5878" w:rsidRDefault="004E5878" w:rsidP="004E5878">
      <w:pPr>
        <w:spacing w:line="360" w:lineRule="auto"/>
      </w:pPr>
    </w:p>
    <w:p w14:paraId="05354C83" w14:textId="77777777" w:rsidR="00F30BEB" w:rsidRDefault="004E5878" w:rsidP="004E5878">
      <w:pPr>
        <w:spacing w:line="360" w:lineRule="auto"/>
        <w:rPr>
          <w:i/>
          <w:iCs/>
          <w:szCs w:val="21"/>
          <w:lang w:val="en-US"/>
        </w:rPr>
      </w:pPr>
      <w:r w:rsidRPr="004E5878">
        <w:rPr>
          <w:i/>
          <w:iCs/>
          <w:szCs w:val="21"/>
          <w:lang w:val="en-US"/>
        </w:rPr>
        <w:t>Dropouts in Family Medicine Residencies during the 2024–2025 Academic Year in Holguín Province: Municipal Comparative Analysis, Causes and Trends</w:t>
      </w:r>
    </w:p>
    <w:p w14:paraId="14B720DE" w14:textId="77777777" w:rsidR="004E5878" w:rsidRPr="004E5878" w:rsidRDefault="004E5878" w:rsidP="004E5878">
      <w:pPr>
        <w:spacing w:line="360" w:lineRule="auto"/>
        <w:rPr>
          <w:lang w:val="en-US"/>
        </w:rPr>
      </w:pPr>
    </w:p>
    <w:p w14:paraId="22EBC196" w14:textId="1B759478" w:rsidR="004E5878" w:rsidRPr="000A2FDF" w:rsidRDefault="004E5878" w:rsidP="00290992">
      <w:pPr>
        <w:pStyle w:val="Prrafodelista"/>
        <w:numPr>
          <w:ilvl w:val="0"/>
          <w:numId w:val="2"/>
        </w:numPr>
        <w:spacing w:line="360" w:lineRule="auto"/>
        <w:rPr>
          <w:b/>
          <w:bCs/>
        </w:rPr>
      </w:pPr>
      <w:r w:rsidRPr="000A2FDF">
        <w:rPr>
          <w:b/>
          <w:bCs/>
        </w:rPr>
        <w:t xml:space="preserve">Dra. </w:t>
      </w:r>
      <w:proofErr w:type="spellStart"/>
      <w:r w:rsidRPr="000A2FDF">
        <w:t>Nirian</w:t>
      </w:r>
      <w:proofErr w:type="spellEnd"/>
      <w:r w:rsidRPr="000A2FDF">
        <w:t xml:space="preserve"> Eliza Infanzón Lorenzo</w:t>
      </w:r>
    </w:p>
    <w:p w14:paraId="68980F7D" w14:textId="77777777" w:rsidR="00290992" w:rsidRDefault="00290992" w:rsidP="00290992">
      <w:pPr>
        <w:pStyle w:val="Prrafodelista"/>
        <w:numPr>
          <w:ilvl w:val="0"/>
          <w:numId w:val="2"/>
        </w:numPr>
        <w:spacing w:line="360" w:lineRule="auto"/>
        <w:rPr>
          <w:sz w:val="24"/>
          <w:szCs w:val="24"/>
        </w:rPr>
      </w:pPr>
      <w:r>
        <w:rPr>
          <w:sz w:val="24"/>
          <w:szCs w:val="24"/>
        </w:rPr>
        <w:t>Ruben Cruz Pérez</w:t>
      </w:r>
    </w:p>
    <w:p w14:paraId="2C9718E3" w14:textId="77777777" w:rsidR="00290992" w:rsidRDefault="00290992" w:rsidP="00290992">
      <w:pPr>
        <w:pStyle w:val="Prrafodelista"/>
        <w:numPr>
          <w:ilvl w:val="0"/>
          <w:numId w:val="2"/>
        </w:numPr>
        <w:spacing w:line="360" w:lineRule="auto"/>
        <w:rPr>
          <w:sz w:val="24"/>
          <w:szCs w:val="24"/>
        </w:rPr>
      </w:pPr>
      <w:r>
        <w:rPr>
          <w:sz w:val="24"/>
          <w:szCs w:val="24"/>
        </w:rPr>
        <w:t>Henry Daniel Avalos Rivas</w:t>
      </w:r>
    </w:p>
    <w:p w14:paraId="3BA27436" w14:textId="6804C260" w:rsidR="00290992" w:rsidRDefault="00290992" w:rsidP="00290992">
      <w:pPr>
        <w:pStyle w:val="Prrafodelista"/>
        <w:numPr>
          <w:ilvl w:val="0"/>
          <w:numId w:val="2"/>
        </w:numPr>
        <w:spacing w:line="360" w:lineRule="auto"/>
        <w:rPr>
          <w:sz w:val="24"/>
          <w:szCs w:val="24"/>
        </w:rPr>
      </w:pPr>
      <w:r>
        <w:rPr>
          <w:sz w:val="24"/>
          <w:szCs w:val="24"/>
        </w:rPr>
        <w:t>Tatiana Zoyla Ochoa Roca</w:t>
      </w:r>
    </w:p>
    <w:p w14:paraId="62511AD9" w14:textId="23E89996" w:rsidR="00290992" w:rsidRDefault="00290992" w:rsidP="00290992">
      <w:pPr>
        <w:pStyle w:val="Prrafodelista"/>
        <w:numPr>
          <w:ilvl w:val="0"/>
          <w:numId w:val="2"/>
        </w:numPr>
        <w:spacing w:line="360" w:lineRule="auto"/>
        <w:rPr>
          <w:sz w:val="24"/>
          <w:szCs w:val="24"/>
        </w:rPr>
      </w:pPr>
      <w:r>
        <w:rPr>
          <w:sz w:val="24"/>
          <w:szCs w:val="24"/>
        </w:rPr>
        <w:t>Fernando A Casals</w:t>
      </w:r>
    </w:p>
    <w:p w14:paraId="5C7FF1DD" w14:textId="2E113C1D" w:rsidR="00290992" w:rsidRDefault="00290992" w:rsidP="00290992">
      <w:pPr>
        <w:pStyle w:val="Prrafodelista"/>
        <w:numPr>
          <w:ilvl w:val="0"/>
          <w:numId w:val="2"/>
        </w:numPr>
        <w:spacing w:line="360" w:lineRule="auto"/>
        <w:rPr>
          <w:sz w:val="24"/>
          <w:szCs w:val="24"/>
        </w:rPr>
      </w:pPr>
      <w:r>
        <w:rPr>
          <w:sz w:val="24"/>
          <w:szCs w:val="24"/>
        </w:rPr>
        <w:t>Carlos Ochoa</w:t>
      </w:r>
    </w:p>
    <w:p w14:paraId="545ECB54" w14:textId="77777777" w:rsidR="00290992" w:rsidRPr="004E5878" w:rsidRDefault="00290992" w:rsidP="00290992">
      <w:pPr>
        <w:pStyle w:val="Prrafodelista"/>
        <w:spacing w:line="360" w:lineRule="auto"/>
        <w:ind w:left="720"/>
      </w:pPr>
    </w:p>
    <w:p w14:paraId="528B1E18" w14:textId="77777777" w:rsidR="00F30BEB" w:rsidRPr="004E5878" w:rsidRDefault="004E5878" w:rsidP="004E5878">
      <w:pPr>
        <w:pStyle w:val="Ttulo11"/>
        <w:spacing w:before="0" w:after="0" w:line="360" w:lineRule="auto"/>
        <w:jc w:val="both"/>
        <w:rPr>
          <w:color w:val="auto"/>
        </w:rPr>
      </w:pPr>
      <w:r w:rsidRPr="004E5878">
        <w:rPr>
          <w:color w:val="auto"/>
        </w:rPr>
        <w:t>Resumen</w:t>
      </w:r>
    </w:p>
    <w:p w14:paraId="3E0E4E85" w14:textId="77777777" w:rsidR="00F30BEB" w:rsidRPr="004E5878" w:rsidRDefault="004E5878" w:rsidP="004E5878">
      <w:pPr>
        <w:spacing w:line="360" w:lineRule="auto"/>
      </w:pPr>
      <w:r w:rsidRPr="004E5878">
        <w:rPr>
          <w:b/>
          <w:bCs/>
          <w:sz w:val="22"/>
        </w:rPr>
        <w:t xml:space="preserve">Introducción: </w:t>
      </w:r>
      <w:r w:rsidRPr="004E5878">
        <w:rPr>
          <w:sz w:val="22"/>
        </w:rPr>
        <w:t>El abandono de los programas de residencia médica en Medicina Familiar constituye una problemática de salud pública que compromete la disponibilidad de especialistas en la Atención Primaria de Salud (APS). En la provincia de Holguín, con 14 municipios y una matrícula de 250 residentes en el curso 2024–2025, el incremento sostenido de las bajas demanda un análisis comparativo territorial y multivariable.</w:t>
      </w:r>
      <w:r w:rsidRPr="004E5878">
        <w:rPr>
          <w:sz w:val="16"/>
          <w:szCs w:val="16"/>
          <w:vertAlign w:val="superscript"/>
        </w:rPr>
        <w:t xml:space="preserve"> (1,2)</w:t>
      </w:r>
    </w:p>
    <w:p w14:paraId="45E708F3" w14:textId="77777777" w:rsidR="00F30BEB" w:rsidRPr="004E5878" w:rsidRDefault="004E5878" w:rsidP="004E5878">
      <w:pPr>
        <w:spacing w:line="360" w:lineRule="auto"/>
      </w:pPr>
      <w:r w:rsidRPr="004E5878">
        <w:rPr>
          <w:b/>
          <w:bCs/>
          <w:sz w:val="22"/>
        </w:rPr>
        <w:t xml:space="preserve">Objetivo: </w:t>
      </w:r>
      <w:r w:rsidRPr="004E5878">
        <w:rPr>
          <w:sz w:val="22"/>
        </w:rPr>
        <w:t>Analizar las bajas en las residencias de Medicina Familiar de todos los municipios de la provincia de Holguín durante el curso 2024–2025, comparándolas con el curso 2023–2024 e identificando su distribución, causas y tendencias.</w:t>
      </w:r>
      <w:r w:rsidRPr="004E5878">
        <w:rPr>
          <w:sz w:val="16"/>
          <w:szCs w:val="16"/>
          <w:vertAlign w:val="superscript"/>
        </w:rPr>
        <w:t xml:space="preserve"> (3)</w:t>
      </w:r>
    </w:p>
    <w:p w14:paraId="4B4F3ACD" w14:textId="77777777" w:rsidR="00F30BEB" w:rsidRPr="004E5878" w:rsidRDefault="004E5878" w:rsidP="004E5878">
      <w:pPr>
        <w:spacing w:line="360" w:lineRule="auto"/>
      </w:pPr>
      <w:r w:rsidRPr="004E5878">
        <w:rPr>
          <w:b/>
          <w:bCs/>
          <w:sz w:val="22"/>
        </w:rPr>
        <w:t xml:space="preserve">Métodos: </w:t>
      </w:r>
      <w:r w:rsidRPr="004E5878">
        <w:rPr>
          <w:sz w:val="22"/>
        </w:rPr>
        <w:t>Estudio observacional, descriptivo y de corte transversal. Se incluyeron la totalidad de las bajas producidas de septiembre de 2024 a junio de 2025 en los 14 municipios holguineros (n=47) y las del período homólogo anterior (n=33). Variables: municipio, año de residencia, sexo, causa y tipo de baja. Se empleó estadística descriptiva. Aprobado por el Comité de Ética Institucional; datos anonimizados.</w:t>
      </w:r>
      <w:r w:rsidRPr="004E5878">
        <w:rPr>
          <w:sz w:val="16"/>
          <w:szCs w:val="16"/>
          <w:vertAlign w:val="superscript"/>
        </w:rPr>
        <w:t xml:space="preserve"> (4,5)</w:t>
      </w:r>
    </w:p>
    <w:p w14:paraId="398FB339" w14:textId="77777777" w:rsidR="00F30BEB" w:rsidRPr="004E5878" w:rsidRDefault="004E5878" w:rsidP="004E5878">
      <w:pPr>
        <w:spacing w:line="360" w:lineRule="auto"/>
      </w:pPr>
      <w:r w:rsidRPr="004E5878">
        <w:rPr>
          <w:b/>
          <w:bCs/>
          <w:sz w:val="22"/>
        </w:rPr>
        <w:t xml:space="preserve">Resultados: </w:t>
      </w:r>
      <w:r w:rsidRPr="004E5878">
        <w:rPr>
          <w:sz w:val="22"/>
        </w:rPr>
        <w:t>Se registraron 47 bajas en 2024–2025, un 42,4 % más que en 2023–2024 (n=33). El municipio de Holguín concentró el mayor número (n=14; 29,8 %), seguido de Mayarí (n=6; 12,8 %), Moa y Banes (n=5 c/u; 10,6 %). El primer año acumuló el 46,8 % de los casos. Las causas personales fueron las más frecuentes (36,2 %), seguidas de las laborales (27,7 %) y académicas (21,3 %). El sexo femenino representó el 57,4 % y las bajas voluntarias el 68,1 %.</w:t>
      </w:r>
      <w:r w:rsidRPr="004E5878">
        <w:rPr>
          <w:sz w:val="16"/>
          <w:szCs w:val="16"/>
          <w:vertAlign w:val="superscript"/>
        </w:rPr>
        <w:t xml:space="preserve"> (6,7)</w:t>
      </w:r>
    </w:p>
    <w:p w14:paraId="58DB68FF" w14:textId="77777777" w:rsidR="00F30BEB" w:rsidRPr="004E5878" w:rsidRDefault="004E5878" w:rsidP="004E5878">
      <w:pPr>
        <w:spacing w:line="360" w:lineRule="auto"/>
      </w:pPr>
      <w:r w:rsidRPr="004E5878">
        <w:rPr>
          <w:b/>
          <w:bCs/>
          <w:sz w:val="22"/>
        </w:rPr>
        <w:t xml:space="preserve">Conclusiones: </w:t>
      </w:r>
      <w:r w:rsidRPr="004E5878">
        <w:rPr>
          <w:sz w:val="22"/>
        </w:rPr>
        <w:t>Las bajas muestran una tendencia ascendente con distribución municipal heterogénea. Se requieren estrategias de intervención temprana, tutoría individualizada con enfoque de género y mayor coordinación interinstitucional para mejorar la retención de residentes en Medicina Familiar en Holguín.</w:t>
      </w:r>
      <w:r w:rsidRPr="004E5878">
        <w:rPr>
          <w:sz w:val="16"/>
          <w:szCs w:val="16"/>
          <w:vertAlign w:val="superscript"/>
        </w:rPr>
        <w:t xml:space="preserve"> (8)</w:t>
      </w:r>
    </w:p>
    <w:p w14:paraId="7457EFED" w14:textId="77777777" w:rsidR="00F30BEB" w:rsidRPr="004E5878" w:rsidRDefault="004E5878" w:rsidP="004E5878">
      <w:pPr>
        <w:spacing w:line="360" w:lineRule="auto"/>
      </w:pPr>
      <w:r w:rsidRPr="004E5878">
        <w:rPr>
          <w:b/>
          <w:bCs/>
          <w:sz w:val="22"/>
        </w:rPr>
        <w:lastRenderedPageBreak/>
        <w:t xml:space="preserve">Palabras clave: </w:t>
      </w:r>
      <w:r w:rsidRPr="004E5878">
        <w:rPr>
          <w:sz w:val="22"/>
        </w:rPr>
        <w:t>residencia médica; Medicina Familiar; abandono escolar; formación médica; Holguín; Atención Primaria de Salud.</w:t>
      </w:r>
    </w:p>
    <w:p w14:paraId="5E3BDCAF" w14:textId="77777777" w:rsidR="004E5878" w:rsidRPr="00290992" w:rsidRDefault="004E5878" w:rsidP="004E5878">
      <w:pPr>
        <w:pStyle w:val="Ttulo11"/>
        <w:spacing w:before="0" w:after="0" w:line="360" w:lineRule="auto"/>
        <w:jc w:val="both"/>
        <w:rPr>
          <w:color w:val="auto"/>
        </w:rPr>
      </w:pPr>
    </w:p>
    <w:p w14:paraId="6C9C4983" w14:textId="416BC39B" w:rsidR="00F30BEB" w:rsidRPr="004E5878" w:rsidRDefault="004E5878" w:rsidP="004E5878">
      <w:pPr>
        <w:pStyle w:val="Ttulo11"/>
        <w:spacing w:before="0" w:after="0" w:line="360" w:lineRule="auto"/>
        <w:jc w:val="both"/>
        <w:rPr>
          <w:color w:val="auto"/>
          <w:lang w:val="en-US"/>
        </w:rPr>
      </w:pPr>
      <w:r w:rsidRPr="004E5878">
        <w:rPr>
          <w:color w:val="auto"/>
          <w:lang w:val="en-US"/>
        </w:rPr>
        <w:t>Abstract</w:t>
      </w:r>
    </w:p>
    <w:p w14:paraId="42BD0E84" w14:textId="77777777" w:rsidR="00F30BEB" w:rsidRPr="004E5878" w:rsidRDefault="004E5878" w:rsidP="004E5878">
      <w:pPr>
        <w:spacing w:line="360" w:lineRule="auto"/>
        <w:rPr>
          <w:lang w:val="en-US"/>
        </w:rPr>
      </w:pPr>
      <w:r w:rsidRPr="004E5878">
        <w:rPr>
          <w:b/>
          <w:bCs/>
          <w:sz w:val="22"/>
          <w:lang w:val="en-US"/>
        </w:rPr>
        <w:t xml:space="preserve">Introduction: </w:t>
      </w:r>
      <w:r w:rsidRPr="004E5878">
        <w:rPr>
          <w:sz w:val="22"/>
          <w:lang w:val="en-US"/>
        </w:rPr>
        <w:t>Dropout from Family Medicine residency programs is a public health issue that compromises the availability of Primary Health Care (PHC) specialists. In Holguín Province, with 14 municipalities and 250 Family Medicine residents enrolled in 2024–2025, the sustained rise in dropouts demands a territorial and multivariable comparative analysis.</w:t>
      </w:r>
      <w:r w:rsidRPr="004E5878">
        <w:rPr>
          <w:sz w:val="16"/>
          <w:szCs w:val="16"/>
          <w:vertAlign w:val="superscript"/>
          <w:lang w:val="en-US"/>
        </w:rPr>
        <w:t xml:space="preserve"> (1,2)</w:t>
      </w:r>
    </w:p>
    <w:p w14:paraId="69E2B564" w14:textId="77777777" w:rsidR="00F30BEB" w:rsidRPr="004E5878" w:rsidRDefault="004E5878" w:rsidP="004E5878">
      <w:pPr>
        <w:spacing w:line="360" w:lineRule="auto"/>
        <w:rPr>
          <w:lang w:val="en-US"/>
        </w:rPr>
      </w:pPr>
      <w:r w:rsidRPr="004E5878">
        <w:rPr>
          <w:b/>
          <w:bCs/>
          <w:sz w:val="22"/>
          <w:lang w:val="en-US"/>
        </w:rPr>
        <w:t xml:space="preserve">Objective: </w:t>
      </w:r>
      <w:r w:rsidRPr="004E5878">
        <w:rPr>
          <w:sz w:val="22"/>
          <w:lang w:val="en-US"/>
        </w:rPr>
        <w:t>To analyze dropouts from Family Medicine residencies across all municipalities of Holguín Province during the 2024–2025 academic year, comparing findings with 2023–2024 and identifying their distribution, causes and trends.</w:t>
      </w:r>
      <w:r w:rsidRPr="004E5878">
        <w:rPr>
          <w:sz w:val="16"/>
          <w:szCs w:val="16"/>
          <w:vertAlign w:val="superscript"/>
          <w:lang w:val="en-US"/>
        </w:rPr>
        <w:t xml:space="preserve"> (3)</w:t>
      </w:r>
    </w:p>
    <w:p w14:paraId="3955BC8F" w14:textId="77777777" w:rsidR="00F30BEB" w:rsidRPr="004E5878" w:rsidRDefault="004E5878" w:rsidP="004E5878">
      <w:pPr>
        <w:spacing w:line="360" w:lineRule="auto"/>
        <w:rPr>
          <w:lang w:val="en-US"/>
        </w:rPr>
      </w:pPr>
      <w:r w:rsidRPr="004E5878">
        <w:rPr>
          <w:b/>
          <w:bCs/>
          <w:sz w:val="22"/>
          <w:lang w:val="en-US"/>
        </w:rPr>
        <w:t xml:space="preserve">Methods: </w:t>
      </w:r>
      <w:r w:rsidRPr="004E5878">
        <w:rPr>
          <w:sz w:val="22"/>
          <w:lang w:val="en-US"/>
        </w:rPr>
        <w:t>Observational, descriptive, cross-sectional study. All dropouts from September 2024 to June 2025 across the 14 municipalities (n=47) were included alongside those from the previous equivalent period (n=33). Variables: municipality, residency year, sex, cause and dropout type. Descriptive statistics were applied. Approved by the Institutional Ethics Committee; data anonymized.</w:t>
      </w:r>
      <w:r w:rsidRPr="004E5878">
        <w:rPr>
          <w:sz w:val="16"/>
          <w:szCs w:val="16"/>
          <w:vertAlign w:val="superscript"/>
          <w:lang w:val="en-US"/>
        </w:rPr>
        <w:t xml:space="preserve"> (4,5)</w:t>
      </w:r>
    </w:p>
    <w:p w14:paraId="292F7DC3" w14:textId="77777777" w:rsidR="00F30BEB" w:rsidRPr="004E5878" w:rsidRDefault="004E5878" w:rsidP="004E5878">
      <w:pPr>
        <w:spacing w:line="360" w:lineRule="auto"/>
        <w:rPr>
          <w:lang w:val="en-US"/>
        </w:rPr>
      </w:pPr>
      <w:r w:rsidRPr="004E5878">
        <w:rPr>
          <w:b/>
          <w:bCs/>
          <w:sz w:val="22"/>
          <w:lang w:val="en-US"/>
        </w:rPr>
        <w:t xml:space="preserve">Results: </w:t>
      </w:r>
      <w:r w:rsidRPr="004E5878">
        <w:rPr>
          <w:sz w:val="22"/>
          <w:lang w:val="en-US"/>
        </w:rPr>
        <w:t xml:space="preserve">47 dropouts were recorded in 2024–2025, a 42.4% increase over 2023–2024 (n=33). Holguín municipality concentrated the highest number (n=14; 29.8%), followed by </w:t>
      </w:r>
      <w:proofErr w:type="spellStart"/>
      <w:r w:rsidRPr="004E5878">
        <w:rPr>
          <w:sz w:val="22"/>
          <w:lang w:val="en-US"/>
        </w:rPr>
        <w:t>Mayarí</w:t>
      </w:r>
      <w:proofErr w:type="spellEnd"/>
      <w:r w:rsidRPr="004E5878">
        <w:rPr>
          <w:sz w:val="22"/>
          <w:lang w:val="en-US"/>
        </w:rPr>
        <w:t xml:space="preserve"> (n=6; 12.8%) and Moa and Banes (n=5 each; 10.6%). First-year residents accounted for 46.8% of cases. Personal causes were most frequent (36.2%), followed by work-related (27.7%) and academic (21.3%). Female residents represented 57.4% and voluntary dropouts 68.1%.</w:t>
      </w:r>
      <w:r w:rsidRPr="004E5878">
        <w:rPr>
          <w:sz w:val="16"/>
          <w:szCs w:val="16"/>
          <w:vertAlign w:val="superscript"/>
          <w:lang w:val="en-US"/>
        </w:rPr>
        <w:t xml:space="preserve"> (6,7)</w:t>
      </w:r>
    </w:p>
    <w:p w14:paraId="1DF86414" w14:textId="77777777" w:rsidR="00F30BEB" w:rsidRPr="004E5878" w:rsidRDefault="004E5878" w:rsidP="004E5878">
      <w:pPr>
        <w:spacing w:line="360" w:lineRule="auto"/>
        <w:rPr>
          <w:lang w:val="en-US"/>
        </w:rPr>
      </w:pPr>
      <w:r w:rsidRPr="004E5878">
        <w:rPr>
          <w:b/>
          <w:bCs/>
          <w:sz w:val="22"/>
          <w:lang w:val="en-US"/>
        </w:rPr>
        <w:t xml:space="preserve">Conclusions: </w:t>
      </w:r>
      <w:r w:rsidRPr="004E5878">
        <w:rPr>
          <w:sz w:val="22"/>
          <w:lang w:val="en-US"/>
        </w:rPr>
        <w:t>Dropouts show an upward trend with heterogeneous municipal distribution. Early intervention strategies, gender-sensitive individualized tutoring and improved inter-institutional coordination are needed to improve Family Medicine resident retention in Holguín.</w:t>
      </w:r>
      <w:r w:rsidRPr="004E5878">
        <w:rPr>
          <w:sz w:val="16"/>
          <w:szCs w:val="16"/>
          <w:vertAlign w:val="superscript"/>
          <w:lang w:val="en-US"/>
        </w:rPr>
        <w:t xml:space="preserve"> (8)</w:t>
      </w:r>
    </w:p>
    <w:p w14:paraId="4D6AD2EE" w14:textId="398E1B70" w:rsidR="00F30BEB" w:rsidRDefault="004E5878" w:rsidP="004E5878">
      <w:pPr>
        <w:spacing w:line="360" w:lineRule="auto"/>
        <w:rPr>
          <w:lang w:val="en-US"/>
        </w:rPr>
      </w:pPr>
      <w:r w:rsidRPr="004E5878">
        <w:rPr>
          <w:b/>
          <w:bCs/>
          <w:sz w:val="22"/>
          <w:lang w:val="en-US"/>
        </w:rPr>
        <w:t xml:space="preserve">Keywords: </w:t>
      </w:r>
      <w:r w:rsidRPr="004E5878">
        <w:rPr>
          <w:sz w:val="22"/>
          <w:lang w:val="en-US"/>
        </w:rPr>
        <w:t>medical residency; Family Medicine; school dropout; medical education; Holguín; Primary Health Care.</w:t>
      </w:r>
    </w:p>
    <w:p w14:paraId="18D80C36" w14:textId="77777777" w:rsidR="004E5878" w:rsidRPr="004E5878" w:rsidRDefault="004E5878" w:rsidP="004E5878">
      <w:pPr>
        <w:spacing w:line="360" w:lineRule="auto"/>
        <w:rPr>
          <w:lang w:val="en-US"/>
        </w:rPr>
      </w:pPr>
    </w:p>
    <w:p w14:paraId="162AE621" w14:textId="77777777" w:rsidR="00F30BEB" w:rsidRPr="004E5878" w:rsidRDefault="004E5878" w:rsidP="004E5878">
      <w:pPr>
        <w:pStyle w:val="Ttulo11"/>
        <w:spacing w:before="0" w:after="0" w:line="360" w:lineRule="auto"/>
        <w:jc w:val="both"/>
        <w:rPr>
          <w:color w:val="auto"/>
        </w:rPr>
      </w:pPr>
      <w:r w:rsidRPr="004E5878">
        <w:rPr>
          <w:color w:val="auto"/>
        </w:rPr>
        <w:t>Introducción</w:t>
      </w:r>
    </w:p>
    <w:p w14:paraId="06CB4886" w14:textId="77777777" w:rsidR="00F30BEB" w:rsidRPr="004E5878" w:rsidRDefault="004E5878" w:rsidP="004E5878">
      <w:pPr>
        <w:spacing w:line="360" w:lineRule="auto"/>
      </w:pPr>
      <w:r w:rsidRPr="004E5878">
        <w:rPr>
          <w:sz w:val="22"/>
        </w:rPr>
        <w:t>La Medicina Familiar constituye la especialidad central de la Atención Primaria de Salud (APS) en Cuba y en gran parte de América Latina y el Caribe.</w:t>
      </w:r>
      <w:r w:rsidRPr="004E5878">
        <w:rPr>
          <w:sz w:val="16"/>
          <w:szCs w:val="16"/>
          <w:vertAlign w:val="superscript"/>
        </w:rPr>
        <w:t xml:space="preserve"> (1)</w:t>
      </w:r>
      <w:r w:rsidRPr="004E5878">
        <w:rPr>
          <w:sz w:val="22"/>
        </w:rPr>
        <w:t xml:space="preserve"> La formación de especialistas en esta disciplina descansa en los programas de residencia médica, los cuales exigen del cursante una combinación de capacidades clínicas, habilidades comunicativas, compromiso ético y resiliencia personal ante las demandas asistenciales del primer nivel de atención.</w:t>
      </w:r>
      <w:r w:rsidRPr="004E5878">
        <w:rPr>
          <w:sz w:val="16"/>
          <w:szCs w:val="16"/>
          <w:vertAlign w:val="superscript"/>
        </w:rPr>
        <w:t xml:space="preserve"> (2)</w:t>
      </w:r>
    </w:p>
    <w:p w14:paraId="3FA9E990" w14:textId="77777777" w:rsidR="00F30BEB" w:rsidRPr="004E5878" w:rsidRDefault="004E5878" w:rsidP="004E5878">
      <w:pPr>
        <w:spacing w:line="360" w:lineRule="auto"/>
      </w:pPr>
      <w:r w:rsidRPr="004E5878">
        <w:rPr>
          <w:sz w:val="22"/>
        </w:rPr>
        <w:t xml:space="preserve">El abandono o baja de residentes antes de concluir su especialización representa uno de los desafíos más relevantes que enfrenta el sistema de formación médica. Esta problemática no solo supone una pérdida de la inversión académica e institucional, sino que genera brechas en la </w:t>
      </w:r>
      <w:r w:rsidRPr="004E5878">
        <w:rPr>
          <w:sz w:val="22"/>
        </w:rPr>
        <w:lastRenderedPageBreak/>
        <w:t>disponibilidad de recursos humanos calificados para la APS, afectando directamente la cobertura y la calidad de los servicios de salud comunitaria.</w:t>
      </w:r>
      <w:r w:rsidRPr="004E5878">
        <w:rPr>
          <w:sz w:val="16"/>
          <w:szCs w:val="16"/>
          <w:vertAlign w:val="superscript"/>
        </w:rPr>
        <w:t xml:space="preserve"> (3)</w:t>
      </w:r>
    </w:p>
    <w:p w14:paraId="74720B95" w14:textId="77777777" w:rsidR="00F30BEB" w:rsidRPr="004E5878" w:rsidRDefault="004E5878" w:rsidP="004E5878">
      <w:pPr>
        <w:spacing w:line="360" w:lineRule="auto"/>
      </w:pPr>
      <w:r w:rsidRPr="004E5878">
        <w:rPr>
          <w:sz w:val="22"/>
        </w:rPr>
        <w:t>La provincia de Holguín —con 14 municipios, aproximadamente 1 035 000 habitantes y una matrícula de 250 residentes en Medicina Familiar en el curso 2024–2025— no ha sido ajena a este fenómeno.</w:t>
      </w:r>
      <w:r w:rsidRPr="004E5878">
        <w:rPr>
          <w:sz w:val="16"/>
          <w:szCs w:val="16"/>
          <w:vertAlign w:val="superscript"/>
        </w:rPr>
        <w:t xml:space="preserve"> (4)</w:t>
      </w:r>
      <w:r w:rsidRPr="004E5878">
        <w:rPr>
          <w:sz w:val="22"/>
        </w:rPr>
        <w:t xml:space="preserve"> El curso escolar 2024–2025 se desarrolló en un contexto socioeconómico particularmente exigente, con mayor presión asistencial, limitaciones en los recursos y una marcada movilidad laboral de los profesionales de la salud. Estos factores han contribuido a un incremento en la tasa de bajas que merece ser estudiado de forma sistemática y comparativa.</w:t>
      </w:r>
      <w:r w:rsidRPr="004E5878">
        <w:rPr>
          <w:sz w:val="16"/>
          <w:szCs w:val="16"/>
          <w:vertAlign w:val="superscript"/>
        </w:rPr>
        <w:t xml:space="preserve"> (5)</w:t>
      </w:r>
    </w:p>
    <w:p w14:paraId="56333DE7" w14:textId="77777777" w:rsidR="00F30BEB" w:rsidRPr="004E5878" w:rsidRDefault="004E5878" w:rsidP="004E5878">
      <w:pPr>
        <w:spacing w:line="360" w:lineRule="auto"/>
      </w:pPr>
      <w:r w:rsidRPr="004E5878">
        <w:rPr>
          <w:sz w:val="22"/>
        </w:rPr>
        <w:t>El presente artículo tiene como objetivo analizar las bajas registradas en las residencias de Medicina Familiar en todos los municipios de Holguín durante el curso escolar 2024–2025, comparando los resultados con el curso 2023–2024 e identificando su distribución municipal, causas principales, distribución por año de residencia, sexo y tipo de baja, para generar evidencia que sustente estrategias de retención y mejora del proceso formativo.</w:t>
      </w:r>
    </w:p>
    <w:p w14:paraId="36D50126" w14:textId="77777777" w:rsidR="004E5878" w:rsidRDefault="004E5878" w:rsidP="004E5878">
      <w:pPr>
        <w:pStyle w:val="Ttulo11"/>
        <w:spacing w:before="0" w:after="0" w:line="360" w:lineRule="auto"/>
        <w:jc w:val="both"/>
        <w:rPr>
          <w:color w:val="auto"/>
        </w:rPr>
      </w:pPr>
    </w:p>
    <w:p w14:paraId="06DA9A9E" w14:textId="00401E3F" w:rsidR="00F30BEB" w:rsidRPr="004E5878" w:rsidRDefault="004E5878" w:rsidP="004E5878">
      <w:pPr>
        <w:pStyle w:val="Ttulo11"/>
        <w:spacing w:before="0" w:after="0" w:line="360" w:lineRule="auto"/>
        <w:jc w:val="both"/>
        <w:rPr>
          <w:color w:val="auto"/>
        </w:rPr>
      </w:pPr>
      <w:r w:rsidRPr="004E5878">
        <w:rPr>
          <w:color w:val="auto"/>
        </w:rPr>
        <w:t>Métodos</w:t>
      </w:r>
    </w:p>
    <w:p w14:paraId="085C142A" w14:textId="77777777" w:rsidR="00F30BEB" w:rsidRPr="004E5878" w:rsidRDefault="004E5878" w:rsidP="004E5878">
      <w:pPr>
        <w:spacing w:line="360" w:lineRule="auto"/>
      </w:pPr>
      <w:r w:rsidRPr="004E5878">
        <w:rPr>
          <w:sz w:val="22"/>
        </w:rPr>
        <w:t>Se realizó un estudio observacional, descriptivo y de corte transversal con enfoque cuantitativo. El ámbito de estudio fue la totalidad de los 14 municipios de la provincia de Holguín con sedes de residencia en Medicina Familiar adscritas a la Universidad de Ciencias Médicas de Holguín. El período analizado correspondió al curso escolar 2024–2025 (septiembre 2024 – junio 2025), con comparación respecto al período equivalente 2023–2024.</w:t>
      </w:r>
      <w:r w:rsidRPr="004E5878">
        <w:rPr>
          <w:sz w:val="16"/>
          <w:szCs w:val="16"/>
          <w:vertAlign w:val="superscript"/>
        </w:rPr>
        <w:t xml:space="preserve"> (5)</w:t>
      </w:r>
    </w:p>
    <w:p w14:paraId="393A9ED3" w14:textId="77777777" w:rsidR="00F30BEB" w:rsidRPr="004E5878" w:rsidRDefault="004E5878" w:rsidP="004E5878">
      <w:pPr>
        <w:spacing w:line="360" w:lineRule="auto"/>
      </w:pPr>
      <w:r w:rsidRPr="004E5878">
        <w:rPr>
          <w:sz w:val="22"/>
        </w:rPr>
        <w:t>El universo estuvo conformado por la totalidad de los residentes de Medicina Familiar matriculados al inicio de cada uno de los dos cursos escolares estudiados. La muestra fue de tipo censal en ambos períodos, incluyendo la totalidad de las bajas producidas: 33 en el curso 2023–2024 y 47 en el 2024–2025.</w:t>
      </w:r>
    </w:p>
    <w:p w14:paraId="29EECE87" w14:textId="77777777" w:rsidR="00F30BEB" w:rsidRPr="004E5878" w:rsidRDefault="004E5878" w:rsidP="004E5878">
      <w:pPr>
        <w:spacing w:line="360" w:lineRule="auto"/>
      </w:pPr>
      <w:r w:rsidRPr="004E5878">
        <w:rPr>
          <w:sz w:val="22"/>
        </w:rPr>
        <w:t>Las variables estudiadas incluyeron: municipio de sede de residencia (14 municipios de Holguín), año de residencia al momento de la baja (primero, segundo o tercero), sexo (masculino/femenino), causa principal de la baja (personal, laboral, académica, económica/migración u otras) y tipo de baja (voluntaria o por incumplimiento de normativas académicas o asistenciales).</w:t>
      </w:r>
    </w:p>
    <w:p w14:paraId="3C4E86BB" w14:textId="77777777" w:rsidR="004E5878" w:rsidRDefault="004E5878" w:rsidP="004E5878">
      <w:pPr>
        <w:spacing w:line="360" w:lineRule="auto"/>
        <w:rPr>
          <w:sz w:val="22"/>
        </w:rPr>
      </w:pPr>
    </w:p>
    <w:p w14:paraId="48DDF303" w14:textId="2499D35E" w:rsidR="00F30BEB" w:rsidRPr="004E5878" w:rsidRDefault="004E5878" w:rsidP="004E5878">
      <w:pPr>
        <w:spacing w:line="360" w:lineRule="auto"/>
      </w:pPr>
      <w:r w:rsidRPr="004E5878">
        <w:rPr>
          <w:sz w:val="22"/>
        </w:rPr>
        <w:t>La información fue recabada de expedientes académicos, registros institucionales y actas de los consejos científicos de cada sede universitaria. El procesamiento se realizó mediante estadística descriptiva, empleando frecuencias absolutas y relativas porcentuales, con cálculo de la variación entre cursos.</w:t>
      </w:r>
      <w:r w:rsidRPr="004E5878">
        <w:rPr>
          <w:sz w:val="16"/>
          <w:szCs w:val="16"/>
          <w:vertAlign w:val="superscript"/>
        </w:rPr>
        <w:t xml:space="preserve"> (5)</w:t>
      </w:r>
    </w:p>
    <w:p w14:paraId="05C0846C" w14:textId="77777777" w:rsidR="00F30BEB" w:rsidRPr="004E5878" w:rsidRDefault="004E5878" w:rsidP="004E5878">
      <w:pPr>
        <w:pStyle w:val="Ttulo21"/>
        <w:spacing w:before="0" w:after="0" w:line="360" w:lineRule="auto"/>
        <w:jc w:val="both"/>
        <w:rPr>
          <w:color w:val="auto"/>
        </w:rPr>
      </w:pPr>
      <w:r w:rsidRPr="004E5878">
        <w:rPr>
          <w:color w:val="auto"/>
        </w:rPr>
        <w:t>Consideraciones éticas</w:t>
      </w:r>
    </w:p>
    <w:p w14:paraId="45A4DDE7" w14:textId="77777777" w:rsidR="00F30BEB" w:rsidRPr="004E5878" w:rsidRDefault="004E5878" w:rsidP="004E5878">
      <w:pPr>
        <w:spacing w:line="360" w:lineRule="auto"/>
      </w:pPr>
      <w:r w:rsidRPr="004E5878">
        <w:rPr>
          <w:sz w:val="22"/>
        </w:rPr>
        <w:t>El estudio fue aprobado por el Comité de Ética de la Investigación de la Universidad de Ciencias Médicas de Holguín. Se garantizó la confidencialidad de los datos, los cuales fueron anonimizados previamente al análisis estadístico.</w:t>
      </w:r>
    </w:p>
    <w:p w14:paraId="60E1C95F" w14:textId="77777777" w:rsidR="00F30BEB" w:rsidRPr="004E5878" w:rsidRDefault="004E5878" w:rsidP="004E5878">
      <w:pPr>
        <w:pStyle w:val="Ttulo11"/>
        <w:spacing w:before="0" w:after="0" w:line="360" w:lineRule="auto"/>
        <w:jc w:val="both"/>
        <w:rPr>
          <w:color w:val="auto"/>
        </w:rPr>
      </w:pPr>
      <w:r w:rsidRPr="004E5878">
        <w:rPr>
          <w:color w:val="auto"/>
        </w:rPr>
        <w:lastRenderedPageBreak/>
        <w:t>Resultados</w:t>
      </w:r>
    </w:p>
    <w:p w14:paraId="50F73546" w14:textId="77777777" w:rsidR="00F30BEB" w:rsidRPr="004E5878" w:rsidRDefault="004E5878" w:rsidP="004E5878">
      <w:pPr>
        <w:spacing w:line="360" w:lineRule="auto"/>
      </w:pPr>
      <w:r w:rsidRPr="004E5878">
        <w:rPr>
          <w:sz w:val="22"/>
        </w:rPr>
        <w:t>Durante el curso escolar 2024–2025 se registraron 47 bajas en las residencias de Medicina Familiar de la provincia de Holguín, lo que representó un incremento absoluto de 14 casos (+42,4 %) respecto al curso 2023–2024 (n=33). La tasa de abandono sobre la matrícula total del curso 2024–2025 (n=250) fue del 18,8 %.</w:t>
      </w:r>
    </w:p>
    <w:p w14:paraId="36C3B09F" w14:textId="77777777" w:rsidR="00F30BEB" w:rsidRPr="004E5878" w:rsidRDefault="00F30BEB" w:rsidP="004E5878">
      <w:pPr>
        <w:spacing w:line="360" w:lineRule="auto"/>
      </w:pPr>
    </w:p>
    <w:p w14:paraId="0C5B96B6" w14:textId="77777777" w:rsidR="00F30BEB" w:rsidRPr="004E5878" w:rsidRDefault="004E5878" w:rsidP="004E5878">
      <w:pPr>
        <w:spacing w:line="360" w:lineRule="auto"/>
      </w:pPr>
      <w:r w:rsidRPr="004E5878">
        <w:rPr>
          <w:b/>
          <w:bCs/>
          <w:sz w:val="20"/>
          <w:szCs w:val="20"/>
        </w:rPr>
        <w:t xml:space="preserve">Tabla 1. Distribución de bajas en residencias de Medicina Familiar según municipio de la provincia de Holguín. </w:t>
      </w:r>
      <w:proofErr w:type="gramStart"/>
      <w:r w:rsidRPr="004E5878">
        <w:rPr>
          <w:b/>
          <w:bCs/>
          <w:sz w:val="20"/>
          <w:szCs w:val="20"/>
        </w:rPr>
        <w:t>Comparativo cursos</w:t>
      </w:r>
      <w:proofErr w:type="gramEnd"/>
      <w:r w:rsidRPr="004E5878">
        <w:rPr>
          <w:b/>
          <w:bCs/>
          <w:sz w:val="20"/>
          <w:szCs w:val="20"/>
        </w:rPr>
        <w:t xml:space="preserve"> 2023–2024 y 2024–2025.</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97"/>
        <w:gridCol w:w="936"/>
        <w:gridCol w:w="832"/>
        <w:gridCol w:w="895"/>
        <w:gridCol w:w="832"/>
        <w:gridCol w:w="895"/>
        <w:gridCol w:w="780"/>
        <w:gridCol w:w="974"/>
        <w:gridCol w:w="759"/>
      </w:tblGrid>
      <w:tr w:rsidR="004E5878" w:rsidRPr="004E5878" w14:paraId="2FCA3CE0" w14:textId="77777777">
        <w:tc>
          <w:tcPr>
            <w:tcW w:w="24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30B17A84" w14:textId="77777777" w:rsidR="00F30BEB" w:rsidRPr="004E5878" w:rsidRDefault="004E5878" w:rsidP="004E5878">
            <w:pPr>
              <w:spacing w:line="360" w:lineRule="auto"/>
            </w:pPr>
            <w:r w:rsidRPr="004E5878">
              <w:rPr>
                <w:b/>
                <w:bCs/>
                <w:sz w:val="17"/>
                <w:szCs w:val="17"/>
              </w:rPr>
              <w:t>Municipio</w:t>
            </w:r>
          </w:p>
        </w:tc>
        <w:tc>
          <w:tcPr>
            <w:tcW w:w="9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3B5EED9" w14:textId="77777777" w:rsidR="00F30BEB" w:rsidRPr="004E5878" w:rsidRDefault="004E5878" w:rsidP="004E5878">
            <w:pPr>
              <w:spacing w:line="360" w:lineRule="auto"/>
            </w:pPr>
            <w:proofErr w:type="spellStart"/>
            <w:r w:rsidRPr="004E5878">
              <w:rPr>
                <w:b/>
                <w:bCs/>
                <w:sz w:val="17"/>
                <w:szCs w:val="17"/>
              </w:rPr>
              <w:t>Matr</w:t>
            </w:r>
            <w:proofErr w:type="spellEnd"/>
            <w:r w:rsidRPr="004E5878">
              <w:rPr>
                <w:b/>
                <w:bCs/>
                <w:sz w:val="17"/>
                <w:szCs w:val="17"/>
              </w:rPr>
              <w:t>. 2024–25</w:t>
            </w:r>
          </w:p>
        </w:tc>
        <w:tc>
          <w:tcPr>
            <w:tcW w:w="1660" w:type="dxa"/>
            <w:gridSpan w:val="2"/>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598CCF5" w14:textId="77777777" w:rsidR="00F30BEB" w:rsidRPr="004E5878" w:rsidRDefault="004E5878" w:rsidP="004E5878">
            <w:pPr>
              <w:spacing w:line="360" w:lineRule="auto"/>
            </w:pPr>
            <w:r w:rsidRPr="004E5878">
              <w:rPr>
                <w:b/>
                <w:bCs/>
                <w:sz w:val="17"/>
                <w:szCs w:val="17"/>
              </w:rPr>
              <w:t>2023–2024</w:t>
            </w:r>
          </w:p>
        </w:tc>
        <w:tc>
          <w:tcPr>
            <w:tcW w:w="1660" w:type="dxa"/>
            <w:gridSpan w:val="2"/>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1FB897B" w14:textId="77777777" w:rsidR="00F30BEB" w:rsidRPr="004E5878" w:rsidRDefault="004E5878" w:rsidP="004E5878">
            <w:pPr>
              <w:spacing w:line="360" w:lineRule="auto"/>
            </w:pPr>
            <w:r w:rsidRPr="004E5878">
              <w:rPr>
                <w:b/>
                <w:bCs/>
                <w:sz w:val="17"/>
                <w:szCs w:val="17"/>
              </w:rPr>
              <w:t>2024–2025</w:t>
            </w:r>
          </w:p>
        </w:tc>
        <w:tc>
          <w:tcPr>
            <w:tcW w:w="7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49D5E92F" w14:textId="77777777" w:rsidR="00F30BEB" w:rsidRPr="004E5878" w:rsidRDefault="004E5878" w:rsidP="004E5878">
            <w:pPr>
              <w:spacing w:line="360" w:lineRule="auto"/>
            </w:pPr>
            <w:r w:rsidRPr="004E5878">
              <w:rPr>
                <w:b/>
                <w:bCs/>
                <w:sz w:val="17"/>
                <w:szCs w:val="17"/>
              </w:rPr>
              <w:t>Δ n</w:t>
            </w:r>
          </w:p>
        </w:tc>
        <w:tc>
          <w:tcPr>
            <w:tcW w:w="9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E5F7E13" w14:textId="77777777" w:rsidR="00F30BEB" w:rsidRPr="004E5878" w:rsidRDefault="004E5878" w:rsidP="004E5878">
            <w:pPr>
              <w:spacing w:line="360" w:lineRule="auto"/>
            </w:pPr>
            <w:r w:rsidRPr="004E5878">
              <w:rPr>
                <w:b/>
                <w:bCs/>
                <w:sz w:val="17"/>
                <w:szCs w:val="17"/>
              </w:rPr>
              <w:t>Var. %</w:t>
            </w:r>
          </w:p>
        </w:tc>
        <w:tc>
          <w:tcPr>
            <w:tcW w:w="73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0747C1E" w14:textId="77777777" w:rsidR="00F30BEB" w:rsidRPr="004E5878" w:rsidRDefault="004E5878" w:rsidP="004E5878">
            <w:pPr>
              <w:spacing w:line="360" w:lineRule="auto"/>
            </w:pPr>
            <w:proofErr w:type="spellStart"/>
            <w:r w:rsidRPr="004E5878">
              <w:rPr>
                <w:b/>
                <w:bCs/>
                <w:sz w:val="17"/>
                <w:szCs w:val="17"/>
              </w:rPr>
              <w:t>Tend</w:t>
            </w:r>
            <w:proofErr w:type="spellEnd"/>
            <w:r w:rsidRPr="004E5878">
              <w:rPr>
                <w:b/>
                <w:bCs/>
                <w:sz w:val="17"/>
                <w:szCs w:val="17"/>
              </w:rPr>
              <w:t>.</w:t>
            </w:r>
          </w:p>
        </w:tc>
      </w:tr>
      <w:tr w:rsidR="004E5878" w:rsidRPr="004E5878" w14:paraId="1DF49372" w14:textId="77777777">
        <w:tc>
          <w:tcPr>
            <w:tcW w:w="2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7C8E3D21" w14:textId="77777777" w:rsidR="00F30BEB" w:rsidRPr="004E5878" w:rsidRDefault="00F30BEB" w:rsidP="004E5878">
            <w:pPr>
              <w:spacing w:line="360" w:lineRule="auto"/>
            </w:pP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77CC206F" w14:textId="77777777" w:rsidR="00F30BEB" w:rsidRPr="004E5878" w:rsidRDefault="00F30BEB" w:rsidP="004E5878">
            <w:pPr>
              <w:spacing w:line="360" w:lineRule="auto"/>
            </w:pPr>
          </w:p>
        </w:tc>
        <w:tc>
          <w:tcPr>
            <w:tcW w:w="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6D052F7E" w14:textId="77777777" w:rsidR="00F30BEB" w:rsidRPr="004E5878" w:rsidRDefault="004E5878" w:rsidP="004E5878">
            <w:pPr>
              <w:spacing w:line="360" w:lineRule="auto"/>
            </w:pPr>
            <w:r w:rsidRPr="004E5878">
              <w:rPr>
                <w:b/>
                <w:bCs/>
                <w:sz w:val="16"/>
                <w:szCs w:val="16"/>
              </w:rPr>
              <w:t>n</w:t>
            </w:r>
          </w:p>
        </w:tc>
        <w:tc>
          <w:tcPr>
            <w:tcW w:w="8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7AFBE7A3" w14:textId="77777777" w:rsidR="00F30BEB" w:rsidRPr="004E5878" w:rsidRDefault="004E5878" w:rsidP="004E5878">
            <w:pPr>
              <w:spacing w:line="360" w:lineRule="auto"/>
            </w:pPr>
            <w:r w:rsidRPr="004E5878">
              <w:rPr>
                <w:b/>
                <w:bCs/>
                <w:sz w:val="16"/>
                <w:szCs w:val="16"/>
              </w:rPr>
              <w:t>%</w:t>
            </w:r>
          </w:p>
        </w:tc>
        <w:tc>
          <w:tcPr>
            <w:tcW w:w="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2CF24397" w14:textId="77777777" w:rsidR="00F30BEB" w:rsidRPr="004E5878" w:rsidRDefault="004E5878" w:rsidP="004E5878">
            <w:pPr>
              <w:spacing w:line="360" w:lineRule="auto"/>
            </w:pPr>
            <w:r w:rsidRPr="004E5878">
              <w:rPr>
                <w:b/>
                <w:bCs/>
                <w:sz w:val="16"/>
                <w:szCs w:val="16"/>
              </w:rPr>
              <w:t>n</w:t>
            </w:r>
          </w:p>
        </w:tc>
        <w:tc>
          <w:tcPr>
            <w:tcW w:w="8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6517B692" w14:textId="77777777" w:rsidR="00F30BEB" w:rsidRPr="004E5878" w:rsidRDefault="004E5878" w:rsidP="004E5878">
            <w:pPr>
              <w:spacing w:line="360" w:lineRule="auto"/>
            </w:pPr>
            <w:r w:rsidRPr="004E5878">
              <w:rPr>
                <w:b/>
                <w:bCs/>
                <w:sz w:val="16"/>
                <w:szCs w:val="16"/>
              </w:rPr>
              <w:t>%</w:t>
            </w:r>
          </w:p>
        </w:tc>
        <w:tc>
          <w:tcPr>
            <w:tcW w:w="75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59C3DA27" w14:textId="77777777" w:rsidR="00F30BEB" w:rsidRPr="004E5878" w:rsidRDefault="00F30BEB" w:rsidP="004E5878">
            <w:pPr>
              <w:spacing w:line="360" w:lineRule="auto"/>
            </w:pP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4994DF36" w14:textId="77777777" w:rsidR="00F30BEB" w:rsidRPr="004E5878" w:rsidRDefault="00F30BEB" w:rsidP="004E5878">
            <w:pPr>
              <w:spacing w:line="360" w:lineRule="auto"/>
            </w:pPr>
          </w:p>
        </w:tc>
        <w:tc>
          <w:tcPr>
            <w:tcW w:w="73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10" w:type="dxa"/>
              <w:bottom w:w="80" w:type="dxa"/>
              <w:right w:w="110" w:type="dxa"/>
            </w:tcMar>
            <w:vAlign w:val="center"/>
          </w:tcPr>
          <w:p w14:paraId="6F43FAAC" w14:textId="77777777" w:rsidR="00F30BEB" w:rsidRPr="004E5878" w:rsidRDefault="00F30BEB" w:rsidP="004E5878">
            <w:pPr>
              <w:spacing w:line="360" w:lineRule="auto"/>
            </w:pPr>
          </w:p>
        </w:tc>
      </w:tr>
      <w:tr w:rsidR="004E5878" w:rsidRPr="004E5878" w14:paraId="37367112"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4AC932BD" w14:textId="77777777" w:rsidR="00F30BEB" w:rsidRPr="004E5878" w:rsidRDefault="004E5878" w:rsidP="004E5878">
            <w:pPr>
              <w:spacing w:line="360" w:lineRule="auto"/>
            </w:pPr>
            <w:r w:rsidRPr="004E5878">
              <w:rPr>
                <w:sz w:val="18"/>
                <w:szCs w:val="18"/>
              </w:rPr>
              <w:t>Holguín</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3AC4A96" w14:textId="77777777" w:rsidR="00F30BEB" w:rsidRPr="004E5878" w:rsidRDefault="004E5878" w:rsidP="004E5878">
            <w:pPr>
              <w:spacing w:line="360" w:lineRule="auto"/>
            </w:pPr>
            <w:r w:rsidRPr="004E5878">
              <w:rPr>
                <w:sz w:val="18"/>
                <w:szCs w:val="18"/>
              </w:rPr>
              <w:t>78</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3B632BD" w14:textId="77777777" w:rsidR="00F30BEB" w:rsidRPr="004E5878" w:rsidRDefault="004E5878" w:rsidP="004E5878">
            <w:pPr>
              <w:spacing w:line="360" w:lineRule="auto"/>
            </w:pPr>
            <w:r w:rsidRPr="004E5878">
              <w:rPr>
                <w:sz w:val="18"/>
                <w:szCs w:val="18"/>
              </w:rPr>
              <w:t>10</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FC532C3" w14:textId="77777777" w:rsidR="00F30BEB" w:rsidRPr="004E5878" w:rsidRDefault="004E5878" w:rsidP="004E5878">
            <w:pPr>
              <w:spacing w:line="360" w:lineRule="auto"/>
            </w:pPr>
            <w:r w:rsidRPr="004E5878">
              <w:rPr>
                <w:sz w:val="18"/>
                <w:szCs w:val="18"/>
              </w:rPr>
              <w:t>28,6%</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B391BDC" w14:textId="77777777" w:rsidR="00F30BEB" w:rsidRPr="004E5878" w:rsidRDefault="004E5878" w:rsidP="004E5878">
            <w:pPr>
              <w:spacing w:line="360" w:lineRule="auto"/>
            </w:pPr>
            <w:r w:rsidRPr="004E5878">
              <w:rPr>
                <w:sz w:val="18"/>
                <w:szCs w:val="18"/>
              </w:rPr>
              <w:t>14</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8EEA988" w14:textId="77777777" w:rsidR="00F30BEB" w:rsidRPr="004E5878" w:rsidRDefault="004E5878" w:rsidP="004E5878">
            <w:pPr>
              <w:spacing w:line="360" w:lineRule="auto"/>
            </w:pPr>
            <w:r w:rsidRPr="004E5878">
              <w:rPr>
                <w:sz w:val="18"/>
                <w:szCs w:val="18"/>
              </w:rPr>
              <w:t>26,9%</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6EA7B61" w14:textId="77777777" w:rsidR="00F30BEB" w:rsidRPr="004E5878" w:rsidRDefault="004E5878" w:rsidP="004E5878">
            <w:pPr>
              <w:spacing w:line="360" w:lineRule="auto"/>
            </w:pPr>
            <w:r w:rsidRPr="004E5878">
              <w:rPr>
                <w:sz w:val="18"/>
                <w:szCs w:val="18"/>
              </w:rPr>
              <w:t>+4</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C8C2230" w14:textId="77777777" w:rsidR="00F30BEB" w:rsidRPr="004E5878" w:rsidRDefault="004E5878" w:rsidP="004E5878">
            <w:pPr>
              <w:spacing w:line="360" w:lineRule="auto"/>
            </w:pPr>
            <w:r w:rsidRPr="004E5878">
              <w:rPr>
                <w:sz w:val="18"/>
                <w:szCs w:val="18"/>
              </w:rPr>
              <w:t>+40,0%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7085F23" w14:textId="77777777" w:rsidR="00F30BEB" w:rsidRPr="004E5878" w:rsidRDefault="004E5878" w:rsidP="004E5878">
            <w:pPr>
              <w:spacing w:line="360" w:lineRule="auto"/>
            </w:pPr>
            <w:r w:rsidRPr="004E5878">
              <w:rPr>
                <w:b/>
                <w:bCs/>
                <w:sz w:val="18"/>
                <w:szCs w:val="18"/>
              </w:rPr>
              <w:t>▲</w:t>
            </w:r>
          </w:p>
        </w:tc>
      </w:tr>
      <w:tr w:rsidR="004E5878" w:rsidRPr="004E5878" w14:paraId="21B7C789"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3E9C9196" w14:textId="77777777" w:rsidR="00F30BEB" w:rsidRPr="004E5878" w:rsidRDefault="004E5878" w:rsidP="004E5878">
            <w:pPr>
              <w:spacing w:line="360" w:lineRule="auto"/>
            </w:pPr>
            <w:r w:rsidRPr="004E5878">
              <w:rPr>
                <w:sz w:val="18"/>
                <w:szCs w:val="18"/>
              </w:rPr>
              <w:t>Mayarí</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789FD5D" w14:textId="77777777" w:rsidR="00F30BEB" w:rsidRPr="004E5878" w:rsidRDefault="004E5878" w:rsidP="004E5878">
            <w:pPr>
              <w:spacing w:line="360" w:lineRule="auto"/>
            </w:pPr>
            <w:r w:rsidRPr="004E5878">
              <w:rPr>
                <w:sz w:val="18"/>
                <w:szCs w:val="18"/>
              </w:rPr>
              <w:t>24</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3C99268" w14:textId="77777777" w:rsidR="00F30BEB" w:rsidRPr="004E5878" w:rsidRDefault="004E5878" w:rsidP="004E5878">
            <w:pPr>
              <w:spacing w:line="360" w:lineRule="auto"/>
            </w:pPr>
            <w:r w:rsidRPr="004E5878">
              <w:rPr>
                <w:sz w:val="18"/>
                <w:szCs w:val="18"/>
              </w:rPr>
              <w:t>4</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7026D69" w14:textId="77777777" w:rsidR="00F30BEB" w:rsidRPr="004E5878" w:rsidRDefault="004E5878" w:rsidP="004E5878">
            <w:pPr>
              <w:spacing w:line="360" w:lineRule="auto"/>
            </w:pPr>
            <w:r w:rsidRPr="004E5878">
              <w:rPr>
                <w:sz w:val="18"/>
                <w:szCs w:val="18"/>
              </w:rPr>
              <w:t>11,4%</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32C0F85" w14:textId="77777777" w:rsidR="00F30BEB" w:rsidRPr="004E5878" w:rsidRDefault="004E5878" w:rsidP="004E5878">
            <w:pPr>
              <w:spacing w:line="360" w:lineRule="auto"/>
            </w:pPr>
            <w:r w:rsidRPr="004E5878">
              <w:rPr>
                <w:sz w:val="18"/>
                <w:szCs w:val="18"/>
              </w:rPr>
              <w:t>6</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C5C0189" w14:textId="77777777" w:rsidR="00F30BEB" w:rsidRPr="004E5878" w:rsidRDefault="004E5878" w:rsidP="004E5878">
            <w:pPr>
              <w:spacing w:line="360" w:lineRule="auto"/>
            </w:pPr>
            <w:r w:rsidRPr="004E5878">
              <w:rPr>
                <w:sz w:val="18"/>
                <w:szCs w:val="18"/>
              </w:rPr>
              <w:t>11,5%</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0B3C2A9" w14:textId="77777777" w:rsidR="00F30BEB" w:rsidRPr="004E5878" w:rsidRDefault="004E5878" w:rsidP="004E5878">
            <w:pPr>
              <w:spacing w:line="360" w:lineRule="auto"/>
            </w:pPr>
            <w:r w:rsidRPr="004E5878">
              <w:rPr>
                <w:sz w:val="18"/>
                <w:szCs w:val="18"/>
              </w:rPr>
              <w:t>+2</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B3F885E" w14:textId="77777777" w:rsidR="00F30BEB" w:rsidRPr="004E5878" w:rsidRDefault="004E5878" w:rsidP="004E5878">
            <w:pPr>
              <w:spacing w:line="360" w:lineRule="auto"/>
            </w:pPr>
            <w:r w:rsidRPr="004E5878">
              <w:rPr>
                <w:sz w:val="18"/>
                <w:szCs w:val="18"/>
              </w:rPr>
              <w:t>+50,0%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F5F2FC1" w14:textId="77777777" w:rsidR="00F30BEB" w:rsidRPr="004E5878" w:rsidRDefault="004E5878" w:rsidP="004E5878">
            <w:pPr>
              <w:spacing w:line="360" w:lineRule="auto"/>
            </w:pPr>
            <w:r w:rsidRPr="004E5878">
              <w:rPr>
                <w:b/>
                <w:bCs/>
                <w:sz w:val="18"/>
                <w:szCs w:val="18"/>
              </w:rPr>
              <w:t>▲</w:t>
            </w:r>
          </w:p>
        </w:tc>
      </w:tr>
      <w:tr w:rsidR="004E5878" w:rsidRPr="004E5878" w14:paraId="186194F6"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226E8862" w14:textId="77777777" w:rsidR="00F30BEB" w:rsidRPr="004E5878" w:rsidRDefault="004E5878" w:rsidP="004E5878">
            <w:pPr>
              <w:spacing w:line="360" w:lineRule="auto"/>
            </w:pPr>
            <w:r w:rsidRPr="004E5878">
              <w:rPr>
                <w:sz w:val="18"/>
                <w:szCs w:val="18"/>
              </w:rPr>
              <w:t>Moa</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572DCE0" w14:textId="77777777" w:rsidR="00F30BEB" w:rsidRPr="004E5878" w:rsidRDefault="004E5878" w:rsidP="004E5878">
            <w:pPr>
              <w:spacing w:line="360" w:lineRule="auto"/>
            </w:pPr>
            <w:r w:rsidRPr="004E5878">
              <w:rPr>
                <w:sz w:val="18"/>
                <w:szCs w:val="18"/>
              </w:rPr>
              <w:t>18</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290413A"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323009D" w14:textId="77777777" w:rsidR="00F30BEB" w:rsidRPr="004E5878" w:rsidRDefault="004E5878" w:rsidP="004E5878">
            <w:pPr>
              <w:spacing w:line="360" w:lineRule="auto"/>
            </w:pPr>
            <w:r w:rsidRPr="004E5878">
              <w:rPr>
                <w:sz w:val="18"/>
                <w:szCs w:val="18"/>
              </w:rPr>
              <w:t>8,6%</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0DB3B26" w14:textId="77777777" w:rsidR="00F30BEB" w:rsidRPr="004E5878" w:rsidRDefault="004E5878" w:rsidP="004E5878">
            <w:pPr>
              <w:spacing w:line="360" w:lineRule="auto"/>
            </w:pPr>
            <w:r w:rsidRPr="004E5878">
              <w:rPr>
                <w:sz w:val="18"/>
                <w:szCs w:val="18"/>
              </w:rPr>
              <w:t>5</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578F42A" w14:textId="77777777" w:rsidR="00F30BEB" w:rsidRPr="004E5878" w:rsidRDefault="004E5878" w:rsidP="004E5878">
            <w:pPr>
              <w:spacing w:line="360" w:lineRule="auto"/>
            </w:pPr>
            <w:r w:rsidRPr="004E5878">
              <w:rPr>
                <w:sz w:val="18"/>
                <w:szCs w:val="18"/>
              </w:rPr>
              <w:t>9,6%</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7C3BB8D6" w14:textId="77777777" w:rsidR="00F30BEB" w:rsidRPr="004E5878" w:rsidRDefault="004E5878" w:rsidP="004E5878">
            <w:pPr>
              <w:spacing w:line="360" w:lineRule="auto"/>
            </w:pPr>
            <w:r w:rsidRPr="004E5878">
              <w:rPr>
                <w:sz w:val="18"/>
                <w:szCs w:val="18"/>
              </w:rPr>
              <w:t>+2</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A2ED1D2" w14:textId="77777777" w:rsidR="00F30BEB" w:rsidRPr="004E5878" w:rsidRDefault="004E5878" w:rsidP="004E5878">
            <w:pPr>
              <w:spacing w:line="360" w:lineRule="auto"/>
            </w:pPr>
            <w:r w:rsidRPr="004E5878">
              <w:rPr>
                <w:sz w:val="18"/>
                <w:szCs w:val="18"/>
              </w:rPr>
              <w:t>+66,7%</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134244F" w14:textId="77777777" w:rsidR="00F30BEB" w:rsidRPr="004E5878" w:rsidRDefault="004E5878" w:rsidP="004E5878">
            <w:pPr>
              <w:spacing w:line="360" w:lineRule="auto"/>
            </w:pPr>
            <w:r w:rsidRPr="004E5878">
              <w:rPr>
                <w:b/>
                <w:bCs/>
                <w:sz w:val="18"/>
                <w:szCs w:val="18"/>
              </w:rPr>
              <w:t>▲</w:t>
            </w:r>
          </w:p>
        </w:tc>
      </w:tr>
      <w:tr w:rsidR="004E5878" w:rsidRPr="004E5878" w14:paraId="1F787B86"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729C65EC" w14:textId="77777777" w:rsidR="00F30BEB" w:rsidRPr="004E5878" w:rsidRDefault="004E5878" w:rsidP="004E5878">
            <w:pPr>
              <w:spacing w:line="360" w:lineRule="auto"/>
            </w:pPr>
            <w:r w:rsidRPr="004E5878">
              <w:rPr>
                <w:sz w:val="18"/>
                <w:szCs w:val="18"/>
              </w:rPr>
              <w:t>Banes</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4FF16A7" w14:textId="77777777" w:rsidR="00F30BEB" w:rsidRPr="004E5878" w:rsidRDefault="004E5878" w:rsidP="004E5878">
            <w:pPr>
              <w:spacing w:line="360" w:lineRule="auto"/>
            </w:pPr>
            <w:r w:rsidRPr="004E5878">
              <w:rPr>
                <w:sz w:val="18"/>
                <w:szCs w:val="18"/>
              </w:rPr>
              <w:t>20</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914F1AF"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388D1DE" w14:textId="77777777" w:rsidR="00F30BEB" w:rsidRPr="004E5878" w:rsidRDefault="004E5878" w:rsidP="004E5878">
            <w:pPr>
              <w:spacing w:line="360" w:lineRule="auto"/>
            </w:pPr>
            <w:r w:rsidRPr="004E5878">
              <w:rPr>
                <w:sz w:val="18"/>
                <w:szCs w:val="18"/>
              </w:rPr>
              <w:t>8,6%</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2E7FEE7" w14:textId="77777777" w:rsidR="00F30BEB" w:rsidRPr="004E5878" w:rsidRDefault="004E5878" w:rsidP="004E5878">
            <w:pPr>
              <w:spacing w:line="360" w:lineRule="auto"/>
            </w:pPr>
            <w:r w:rsidRPr="004E5878">
              <w:rPr>
                <w:sz w:val="18"/>
                <w:szCs w:val="18"/>
              </w:rPr>
              <w:t>5</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92AA1CF" w14:textId="77777777" w:rsidR="00F30BEB" w:rsidRPr="004E5878" w:rsidRDefault="004E5878" w:rsidP="004E5878">
            <w:pPr>
              <w:spacing w:line="360" w:lineRule="auto"/>
            </w:pPr>
            <w:r w:rsidRPr="004E5878">
              <w:rPr>
                <w:sz w:val="18"/>
                <w:szCs w:val="18"/>
              </w:rPr>
              <w:t>9,6%</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38E5D63" w14:textId="77777777" w:rsidR="00F30BEB" w:rsidRPr="004E5878" w:rsidRDefault="004E5878" w:rsidP="004E5878">
            <w:pPr>
              <w:spacing w:line="360" w:lineRule="auto"/>
            </w:pPr>
            <w:r w:rsidRPr="004E5878">
              <w:rPr>
                <w:sz w:val="18"/>
                <w:szCs w:val="18"/>
              </w:rPr>
              <w:t>+2</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7A17AF9" w14:textId="77777777" w:rsidR="00F30BEB" w:rsidRPr="004E5878" w:rsidRDefault="004E5878" w:rsidP="004E5878">
            <w:pPr>
              <w:spacing w:line="360" w:lineRule="auto"/>
            </w:pPr>
            <w:r w:rsidRPr="004E5878">
              <w:rPr>
                <w:sz w:val="18"/>
                <w:szCs w:val="18"/>
              </w:rPr>
              <w:t>+66,7%</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8F7A4C3" w14:textId="77777777" w:rsidR="00F30BEB" w:rsidRPr="004E5878" w:rsidRDefault="004E5878" w:rsidP="004E5878">
            <w:pPr>
              <w:spacing w:line="360" w:lineRule="auto"/>
            </w:pPr>
            <w:r w:rsidRPr="004E5878">
              <w:rPr>
                <w:b/>
                <w:bCs/>
                <w:sz w:val="18"/>
                <w:szCs w:val="18"/>
              </w:rPr>
              <w:t>▲</w:t>
            </w:r>
          </w:p>
        </w:tc>
      </w:tr>
      <w:tr w:rsidR="004E5878" w:rsidRPr="004E5878" w14:paraId="42CF2A09"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6C277D5F" w14:textId="77777777" w:rsidR="00F30BEB" w:rsidRPr="004E5878" w:rsidRDefault="004E5878" w:rsidP="004E5878">
            <w:pPr>
              <w:spacing w:line="360" w:lineRule="auto"/>
            </w:pPr>
            <w:r w:rsidRPr="004E5878">
              <w:rPr>
                <w:sz w:val="18"/>
                <w:szCs w:val="18"/>
              </w:rPr>
              <w:t>Gibara</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201A078" w14:textId="77777777" w:rsidR="00F30BEB" w:rsidRPr="004E5878" w:rsidRDefault="004E5878" w:rsidP="004E5878">
            <w:pPr>
              <w:spacing w:line="360" w:lineRule="auto"/>
            </w:pPr>
            <w:r w:rsidRPr="004E5878">
              <w:rPr>
                <w:sz w:val="18"/>
                <w:szCs w:val="18"/>
              </w:rPr>
              <w:t>16</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375F847"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FC2B014" w14:textId="77777777" w:rsidR="00F30BEB" w:rsidRPr="004E5878" w:rsidRDefault="004E5878" w:rsidP="004E5878">
            <w:pPr>
              <w:spacing w:line="360" w:lineRule="auto"/>
            </w:pPr>
            <w:r w:rsidRPr="004E5878">
              <w:rPr>
                <w:sz w:val="18"/>
                <w:szCs w:val="18"/>
              </w:rPr>
              <w:t>5,7%</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AE9EBE0" w14:textId="77777777" w:rsidR="00F30BEB" w:rsidRPr="004E5878" w:rsidRDefault="004E5878" w:rsidP="004E5878">
            <w:pPr>
              <w:spacing w:line="360" w:lineRule="auto"/>
            </w:pPr>
            <w:r w:rsidRPr="004E5878">
              <w:rPr>
                <w:sz w:val="18"/>
                <w:szCs w:val="18"/>
              </w:rPr>
              <w:t>4</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B0AA68D" w14:textId="77777777" w:rsidR="00F30BEB" w:rsidRPr="004E5878" w:rsidRDefault="004E5878" w:rsidP="004E5878">
            <w:pPr>
              <w:spacing w:line="360" w:lineRule="auto"/>
            </w:pPr>
            <w:r w:rsidRPr="004E5878">
              <w:rPr>
                <w:sz w:val="18"/>
                <w:szCs w:val="18"/>
              </w:rPr>
              <w:t>7,7%</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2A42F37" w14:textId="77777777" w:rsidR="00F30BEB" w:rsidRPr="004E5878" w:rsidRDefault="004E5878" w:rsidP="004E5878">
            <w:pPr>
              <w:spacing w:line="360" w:lineRule="auto"/>
            </w:pPr>
            <w:r w:rsidRPr="004E5878">
              <w:rPr>
                <w:sz w:val="18"/>
                <w:szCs w:val="18"/>
              </w:rPr>
              <w:t>+2</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FB40919" w14:textId="77777777" w:rsidR="00F30BEB" w:rsidRPr="004E5878" w:rsidRDefault="004E5878" w:rsidP="004E5878">
            <w:pPr>
              <w:spacing w:line="360" w:lineRule="auto"/>
            </w:pPr>
            <w:r w:rsidRPr="004E5878">
              <w:rPr>
                <w:sz w:val="18"/>
                <w:szCs w:val="18"/>
              </w:rPr>
              <w:t>+100,0%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8CE0628" w14:textId="77777777" w:rsidR="00F30BEB" w:rsidRPr="004E5878" w:rsidRDefault="004E5878" w:rsidP="004E5878">
            <w:pPr>
              <w:spacing w:line="360" w:lineRule="auto"/>
            </w:pPr>
            <w:r w:rsidRPr="004E5878">
              <w:rPr>
                <w:b/>
                <w:bCs/>
                <w:sz w:val="18"/>
                <w:szCs w:val="18"/>
              </w:rPr>
              <w:t>▲</w:t>
            </w:r>
          </w:p>
        </w:tc>
      </w:tr>
      <w:tr w:rsidR="004E5878" w:rsidRPr="004E5878" w14:paraId="5B7A93B9"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208C7EA0" w14:textId="77777777" w:rsidR="00F30BEB" w:rsidRPr="004E5878" w:rsidRDefault="004E5878" w:rsidP="004E5878">
            <w:pPr>
              <w:spacing w:line="360" w:lineRule="auto"/>
            </w:pPr>
            <w:proofErr w:type="spellStart"/>
            <w:r w:rsidRPr="004E5878">
              <w:rPr>
                <w:sz w:val="18"/>
                <w:szCs w:val="18"/>
              </w:rPr>
              <w:t>Cacocum</w:t>
            </w:r>
            <w:proofErr w:type="spellEnd"/>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8E2946B" w14:textId="77777777" w:rsidR="00F30BEB" w:rsidRPr="004E5878" w:rsidRDefault="004E5878" w:rsidP="004E5878">
            <w:pPr>
              <w:spacing w:line="360" w:lineRule="auto"/>
            </w:pPr>
            <w:r w:rsidRPr="004E5878">
              <w:rPr>
                <w:sz w:val="18"/>
                <w:szCs w:val="18"/>
              </w:rPr>
              <w:t>14</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764B3F9"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D592EE6" w14:textId="77777777" w:rsidR="00F30BEB" w:rsidRPr="004E5878" w:rsidRDefault="004E5878" w:rsidP="004E5878">
            <w:pPr>
              <w:spacing w:line="360" w:lineRule="auto"/>
            </w:pPr>
            <w:r w:rsidRPr="004E5878">
              <w:rPr>
                <w:sz w:val="18"/>
                <w:szCs w:val="18"/>
              </w:rPr>
              <w:t>5,7%</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5169066B"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528210B" w14:textId="77777777" w:rsidR="00F30BEB" w:rsidRPr="004E5878" w:rsidRDefault="004E5878" w:rsidP="004E5878">
            <w:pPr>
              <w:spacing w:line="360" w:lineRule="auto"/>
            </w:pPr>
            <w:r w:rsidRPr="004E5878">
              <w:rPr>
                <w:sz w:val="18"/>
                <w:szCs w:val="18"/>
              </w:rPr>
              <w:t>5,8%</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F888B99" w14:textId="77777777" w:rsidR="00F30BEB" w:rsidRPr="004E5878" w:rsidRDefault="004E5878" w:rsidP="004E5878">
            <w:pPr>
              <w:spacing w:line="360" w:lineRule="auto"/>
            </w:pPr>
            <w:r w:rsidRPr="004E5878">
              <w:rPr>
                <w:sz w:val="18"/>
                <w:szCs w:val="18"/>
              </w:rPr>
              <w:t>+1</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46035F0" w14:textId="77777777" w:rsidR="00F30BEB" w:rsidRPr="004E5878" w:rsidRDefault="004E5878" w:rsidP="004E5878">
            <w:pPr>
              <w:spacing w:line="360" w:lineRule="auto"/>
            </w:pPr>
            <w:r w:rsidRPr="004E5878">
              <w:rPr>
                <w:sz w:val="18"/>
                <w:szCs w:val="18"/>
              </w:rPr>
              <w:t>+50,0%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A020B5C" w14:textId="77777777" w:rsidR="00F30BEB" w:rsidRPr="004E5878" w:rsidRDefault="004E5878" w:rsidP="004E5878">
            <w:pPr>
              <w:spacing w:line="360" w:lineRule="auto"/>
            </w:pPr>
            <w:r w:rsidRPr="004E5878">
              <w:rPr>
                <w:b/>
                <w:bCs/>
                <w:sz w:val="18"/>
                <w:szCs w:val="18"/>
              </w:rPr>
              <w:t>▲</w:t>
            </w:r>
          </w:p>
        </w:tc>
      </w:tr>
      <w:tr w:rsidR="004E5878" w:rsidRPr="004E5878" w14:paraId="16F1FAE4"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08820F1B" w14:textId="77777777" w:rsidR="00F30BEB" w:rsidRPr="004E5878" w:rsidRDefault="004E5878" w:rsidP="004E5878">
            <w:pPr>
              <w:spacing w:line="360" w:lineRule="auto"/>
            </w:pPr>
            <w:r w:rsidRPr="004E5878">
              <w:rPr>
                <w:sz w:val="18"/>
                <w:szCs w:val="18"/>
              </w:rPr>
              <w:t>Rafael Freyre</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08A2BB2" w14:textId="77777777" w:rsidR="00F30BEB" w:rsidRPr="004E5878" w:rsidRDefault="004E5878" w:rsidP="004E5878">
            <w:pPr>
              <w:spacing w:line="360" w:lineRule="auto"/>
            </w:pPr>
            <w:r w:rsidRPr="004E5878">
              <w:rPr>
                <w:sz w:val="18"/>
                <w:szCs w:val="18"/>
              </w:rPr>
              <w:t>14</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FBAF792"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2B886D0" w14:textId="77777777" w:rsidR="00F30BEB" w:rsidRPr="004E5878" w:rsidRDefault="004E5878" w:rsidP="004E5878">
            <w:pPr>
              <w:spacing w:line="360" w:lineRule="auto"/>
            </w:pPr>
            <w:r w:rsidRPr="004E5878">
              <w:rPr>
                <w:sz w:val="18"/>
                <w:szCs w:val="18"/>
              </w:rPr>
              <w:t>5,7%</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C18B8A6"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B707F0A" w14:textId="77777777" w:rsidR="00F30BEB" w:rsidRPr="004E5878" w:rsidRDefault="004E5878" w:rsidP="004E5878">
            <w:pPr>
              <w:spacing w:line="360" w:lineRule="auto"/>
            </w:pPr>
            <w:r w:rsidRPr="004E5878">
              <w:rPr>
                <w:sz w:val="18"/>
                <w:szCs w:val="18"/>
              </w:rPr>
              <w:t>5,8%</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5C66818" w14:textId="77777777" w:rsidR="00F30BEB" w:rsidRPr="004E5878" w:rsidRDefault="004E5878" w:rsidP="004E5878">
            <w:pPr>
              <w:spacing w:line="360" w:lineRule="auto"/>
            </w:pPr>
            <w:r w:rsidRPr="004E5878">
              <w:rPr>
                <w:sz w:val="18"/>
                <w:szCs w:val="18"/>
              </w:rPr>
              <w:t>+1</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779422CD" w14:textId="77777777" w:rsidR="00F30BEB" w:rsidRPr="004E5878" w:rsidRDefault="004E5878" w:rsidP="004E5878">
            <w:pPr>
              <w:spacing w:line="360" w:lineRule="auto"/>
            </w:pPr>
            <w:r w:rsidRPr="004E5878">
              <w:rPr>
                <w:sz w:val="18"/>
                <w:szCs w:val="18"/>
              </w:rPr>
              <w:t>+50,0%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9081A9F" w14:textId="77777777" w:rsidR="00F30BEB" w:rsidRPr="004E5878" w:rsidRDefault="004E5878" w:rsidP="004E5878">
            <w:pPr>
              <w:spacing w:line="360" w:lineRule="auto"/>
            </w:pPr>
            <w:r w:rsidRPr="004E5878">
              <w:rPr>
                <w:b/>
                <w:bCs/>
                <w:sz w:val="18"/>
                <w:szCs w:val="18"/>
              </w:rPr>
              <w:t>▲</w:t>
            </w:r>
          </w:p>
        </w:tc>
      </w:tr>
      <w:tr w:rsidR="004E5878" w:rsidRPr="004E5878" w14:paraId="6E656231"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5C32A7FC" w14:textId="77777777" w:rsidR="00F30BEB" w:rsidRPr="004E5878" w:rsidRDefault="004E5878" w:rsidP="004E5878">
            <w:pPr>
              <w:spacing w:line="360" w:lineRule="auto"/>
            </w:pPr>
            <w:r w:rsidRPr="004E5878">
              <w:rPr>
                <w:sz w:val="18"/>
                <w:szCs w:val="18"/>
              </w:rPr>
              <w:t>Sagua de Tánamo</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E63605E" w14:textId="77777777" w:rsidR="00F30BEB" w:rsidRPr="004E5878" w:rsidRDefault="004E5878" w:rsidP="004E5878">
            <w:pPr>
              <w:spacing w:line="360" w:lineRule="auto"/>
            </w:pPr>
            <w:r w:rsidRPr="004E5878">
              <w:rPr>
                <w:sz w:val="18"/>
                <w:szCs w:val="18"/>
              </w:rPr>
              <w:t>12</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574A640"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71AD69E" w14:textId="77777777" w:rsidR="00F30BEB" w:rsidRPr="004E5878" w:rsidRDefault="004E5878" w:rsidP="004E5878">
            <w:pPr>
              <w:spacing w:line="360" w:lineRule="auto"/>
            </w:pPr>
            <w:r w:rsidRPr="004E5878">
              <w:rPr>
                <w:sz w:val="18"/>
                <w:szCs w:val="18"/>
              </w:rPr>
              <w:t>5,7%</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BA83E6B"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06F729A" w14:textId="77777777" w:rsidR="00F30BEB" w:rsidRPr="004E5878" w:rsidRDefault="004E5878" w:rsidP="004E5878">
            <w:pPr>
              <w:spacing w:line="360" w:lineRule="auto"/>
            </w:pPr>
            <w:r w:rsidRPr="004E5878">
              <w:rPr>
                <w:sz w:val="18"/>
                <w:szCs w:val="18"/>
              </w:rPr>
              <w:t>5,8%</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E8C4ECB" w14:textId="77777777" w:rsidR="00F30BEB" w:rsidRPr="004E5878" w:rsidRDefault="004E5878" w:rsidP="004E5878">
            <w:pPr>
              <w:spacing w:line="360" w:lineRule="auto"/>
            </w:pPr>
            <w:r w:rsidRPr="004E5878">
              <w:rPr>
                <w:sz w:val="18"/>
                <w:szCs w:val="18"/>
              </w:rPr>
              <w:t>+1</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7B79B36" w14:textId="77777777" w:rsidR="00F30BEB" w:rsidRPr="004E5878" w:rsidRDefault="004E5878" w:rsidP="004E5878">
            <w:pPr>
              <w:spacing w:line="360" w:lineRule="auto"/>
            </w:pPr>
            <w:r w:rsidRPr="004E5878">
              <w:rPr>
                <w:sz w:val="18"/>
                <w:szCs w:val="18"/>
              </w:rPr>
              <w:t>+50,0%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9CA3BCF" w14:textId="77777777" w:rsidR="00F30BEB" w:rsidRPr="004E5878" w:rsidRDefault="004E5878" w:rsidP="004E5878">
            <w:pPr>
              <w:spacing w:line="360" w:lineRule="auto"/>
            </w:pPr>
            <w:r w:rsidRPr="004E5878">
              <w:rPr>
                <w:b/>
                <w:bCs/>
                <w:sz w:val="18"/>
                <w:szCs w:val="18"/>
              </w:rPr>
              <w:t>▲</w:t>
            </w:r>
          </w:p>
        </w:tc>
      </w:tr>
      <w:tr w:rsidR="004E5878" w:rsidRPr="004E5878" w14:paraId="12881743"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4274E484" w14:textId="77777777" w:rsidR="00F30BEB" w:rsidRPr="004E5878" w:rsidRDefault="004E5878" w:rsidP="004E5878">
            <w:pPr>
              <w:spacing w:line="360" w:lineRule="auto"/>
            </w:pPr>
            <w:r w:rsidRPr="004E5878">
              <w:rPr>
                <w:sz w:val="18"/>
                <w:szCs w:val="18"/>
              </w:rPr>
              <w:t>Calixto García</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96F7964" w14:textId="77777777" w:rsidR="00F30BEB" w:rsidRPr="004E5878" w:rsidRDefault="004E5878" w:rsidP="004E5878">
            <w:pPr>
              <w:spacing w:line="360" w:lineRule="auto"/>
            </w:pPr>
            <w:r w:rsidRPr="004E5878">
              <w:rPr>
                <w:sz w:val="18"/>
                <w:szCs w:val="18"/>
              </w:rPr>
              <w:t>12</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490B835"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EF7C304" w14:textId="77777777" w:rsidR="00F30BEB" w:rsidRPr="004E5878" w:rsidRDefault="004E5878" w:rsidP="004E5878">
            <w:pPr>
              <w:spacing w:line="360" w:lineRule="auto"/>
            </w:pPr>
            <w:r w:rsidRPr="004E5878">
              <w:rPr>
                <w:sz w:val="18"/>
                <w:szCs w:val="18"/>
              </w:rPr>
              <w:t>2,9%</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2012A4D" w14:textId="77777777" w:rsidR="00F30BEB" w:rsidRPr="004E5878" w:rsidRDefault="004E5878" w:rsidP="004E5878">
            <w:pPr>
              <w:spacing w:line="360" w:lineRule="auto"/>
            </w:pPr>
            <w:r w:rsidRPr="004E5878">
              <w:rPr>
                <w:sz w:val="18"/>
                <w:szCs w:val="18"/>
              </w:rPr>
              <w:t>3</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1C08824" w14:textId="77777777" w:rsidR="00F30BEB" w:rsidRPr="004E5878" w:rsidRDefault="004E5878" w:rsidP="004E5878">
            <w:pPr>
              <w:spacing w:line="360" w:lineRule="auto"/>
            </w:pPr>
            <w:r w:rsidRPr="004E5878">
              <w:rPr>
                <w:sz w:val="18"/>
                <w:szCs w:val="18"/>
              </w:rPr>
              <w:t>5,8%</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7233A172" w14:textId="77777777" w:rsidR="00F30BEB" w:rsidRPr="004E5878" w:rsidRDefault="004E5878" w:rsidP="004E5878">
            <w:pPr>
              <w:spacing w:line="360" w:lineRule="auto"/>
            </w:pPr>
            <w:r w:rsidRPr="004E5878">
              <w:rPr>
                <w:sz w:val="18"/>
                <w:szCs w:val="18"/>
              </w:rPr>
              <w:t>+2</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1C5807C" w14:textId="77777777" w:rsidR="00F30BEB" w:rsidRPr="004E5878" w:rsidRDefault="004E5878" w:rsidP="004E5878">
            <w:pPr>
              <w:spacing w:line="360" w:lineRule="auto"/>
            </w:pPr>
            <w:r w:rsidRPr="004E5878">
              <w:rPr>
                <w:sz w:val="18"/>
                <w:szCs w:val="18"/>
              </w:rPr>
              <w:t>+200,0%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0DEE871" w14:textId="77777777" w:rsidR="00F30BEB" w:rsidRPr="004E5878" w:rsidRDefault="004E5878" w:rsidP="004E5878">
            <w:pPr>
              <w:spacing w:line="360" w:lineRule="auto"/>
            </w:pPr>
            <w:r w:rsidRPr="004E5878">
              <w:rPr>
                <w:b/>
                <w:bCs/>
                <w:sz w:val="18"/>
                <w:szCs w:val="18"/>
              </w:rPr>
              <w:t>▲</w:t>
            </w:r>
          </w:p>
        </w:tc>
      </w:tr>
      <w:tr w:rsidR="004E5878" w:rsidRPr="004E5878" w14:paraId="788C4E05"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09F12183" w14:textId="77777777" w:rsidR="00F30BEB" w:rsidRPr="004E5878" w:rsidRDefault="004E5878" w:rsidP="004E5878">
            <w:pPr>
              <w:spacing w:line="360" w:lineRule="auto"/>
            </w:pPr>
            <w:r w:rsidRPr="004E5878">
              <w:rPr>
                <w:sz w:val="18"/>
                <w:szCs w:val="18"/>
              </w:rPr>
              <w:t>Antilla</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29F4C9A" w14:textId="77777777" w:rsidR="00F30BEB" w:rsidRPr="004E5878" w:rsidRDefault="004E5878" w:rsidP="004E5878">
            <w:pPr>
              <w:spacing w:line="360" w:lineRule="auto"/>
            </w:pPr>
            <w:r w:rsidRPr="004E5878">
              <w:rPr>
                <w:sz w:val="18"/>
                <w:szCs w:val="18"/>
              </w:rPr>
              <w:t>10</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44A514A"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21D5735" w14:textId="77777777" w:rsidR="00F30BEB" w:rsidRPr="004E5878" w:rsidRDefault="004E5878" w:rsidP="004E5878">
            <w:pPr>
              <w:spacing w:line="360" w:lineRule="auto"/>
            </w:pPr>
            <w:r w:rsidRPr="004E5878">
              <w:rPr>
                <w:sz w:val="18"/>
                <w:szCs w:val="18"/>
              </w:rPr>
              <w:t>2,9%</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5AA75622"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0A033EF" w14:textId="77777777" w:rsidR="00F30BEB" w:rsidRPr="004E5878" w:rsidRDefault="004E5878" w:rsidP="004E5878">
            <w:pPr>
              <w:spacing w:line="360" w:lineRule="auto"/>
            </w:pPr>
            <w:r w:rsidRPr="004E5878">
              <w:rPr>
                <w:sz w:val="18"/>
                <w:szCs w:val="18"/>
              </w:rPr>
              <w:t>3,8%</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CF55301" w14:textId="77777777" w:rsidR="00F30BEB" w:rsidRPr="004E5878" w:rsidRDefault="004E5878" w:rsidP="004E5878">
            <w:pPr>
              <w:spacing w:line="360" w:lineRule="auto"/>
            </w:pPr>
            <w:r w:rsidRPr="004E5878">
              <w:rPr>
                <w:sz w:val="18"/>
                <w:szCs w:val="18"/>
              </w:rPr>
              <w:t>+1</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A7E3EE1" w14:textId="77777777" w:rsidR="00F30BEB" w:rsidRPr="004E5878" w:rsidRDefault="004E5878" w:rsidP="004E5878">
            <w:pPr>
              <w:spacing w:line="360" w:lineRule="auto"/>
            </w:pPr>
            <w:r w:rsidRPr="004E5878">
              <w:rPr>
                <w:sz w:val="18"/>
                <w:szCs w:val="18"/>
              </w:rPr>
              <w:t>+100,0%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83F1EC6" w14:textId="77777777" w:rsidR="00F30BEB" w:rsidRPr="004E5878" w:rsidRDefault="004E5878" w:rsidP="004E5878">
            <w:pPr>
              <w:spacing w:line="360" w:lineRule="auto"/>
            </w:pPr>
            <w:r w:rsidRPr="004E5878">
              <w:rPr>
                <w:b/>
                <w:bCs/>
                <w:sz w:val="18"/>
                <w:szCs w:val="18"/>
              </w:rPr>
              <w:t>▲</w:t>
            </w:r>
          </w:p>
        </w:tc>
      </w:tr>
      <w:tr w:rsidR="004E5878" w:rsidRPr="004E5878" w14:paraId="363B5BFF"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399A0995" w14:textId="77777777" w:rsidR="00F30BEB" w:rsidRPr="004E5878" w:rsidRDefault="004E5878" w:rsidP="004E5878">
            <w:pPr>
              <w:spacing w:line="360" w:lineRule="auto"/>
            </w:pPr>
            <w:proofErr w:type="spellStart"/>
            <w:r w:rsidRPr="004E5878">
              <w:rPr>
                <w:sz w:val="18"/>
                <w:szCs w:val="18"/>
              </w:rPr>
              <w:t>Báguano</w:t>
            </w:r>
            <w:proofErr w:type="spellEnd"/>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56E6508" w14:textId="77777777" w:rsidR="00F30BEB" w:rsidRPr="004E5878" w:rsidRDefault="004E5878" w:rsidP="004E5878">
            <w:pPr>
              <w:spacing w:line="360" w:lineRule="auto"/>
            </w:pPr>
            <w:r w:rsidRPr="004E5878">
              <w:rPr>
                <w:sz w:val="18"/>
                <w:szCs w:val="18"/>
              </w:rPr>
              <w:t>10</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726BDD2"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44CF9EF" w14:textId="77777777" w:rsidR="00F30BEB" w:rsidRPr="004E5878" w:rsidRDefault="004E5878" w:rsidP="004E5878">
            <w:pPr>
              <w:spacing w:line="360" w:lineRule="auto"/>
            </w:pPr>
            <w:r w:rsidRPr="004E5878">
              <w:rPr>
                <w:sz w:val="18"/>
                <w:szCs w:val="18"/>
              </w:rPr>
              <w:t>5,7%</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81CF4BB" w14:textId="77777777" w:rsidR="00F30BEB" w:rsidRPr="004E5878" w:rsidRDefault="004E5878" w:rsidP="004E5878">
            <w:pPr>
              <w:spacing w:line="360" w:lineRule="auto"/>
            </w:pPr>
            <w:r w:rsidRPr="004E5878">
              <w:rPr>
                <w:sz w:val="18"/>
                <w:szCs w:val="18"/>
              </w:rPr>
              <w:t>2</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9E57889" w14:textId="77777777" w:rsidR="00F30BEB" w:rsidRPr="004E5878" w:rsidRDefault="004E5878" w:rsidP="004E5878">
            <w:pPr>
              <w:spacing w:line="360" w:lineRule="auto"/>
            </w:pPr>
            <w:r w:rsidRPr="004E5878">
              <w:rPr>
                <w:sz w:val="18"/>
                <w:szCs w:val="18"/>
              </w:rPr>
              <w:t>3,8%</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34DE800" w14:textId="77777777" w:rsidR="00F30BEB" w:rsidRPr="004E5878" w:rsidRDefault="004E5878" w:rsidP="004E5878">
            <w:pPr>
              <w:spacing w:line="360" w:lineRule="auto"/>
            </w:pPr>
            <w:r w:rsidRPr="004E5878">
              <w:rPr>
                <w:sz w:val="18"/>
                <w:szCs w:val="18"/>
              </w:rPr>
              <w:t>0</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ECA25BC" w14:textId="77777777" w:rsidR="00F30BEB" w:rsidRPr="004E5878" w:rsidRDefault="004E5878" w:rsidP="004E5878">
            <w:pPr>
              <w:spacing w:line="360" w:lineRule="auto"/>
            </w:pPr>
            <w:r w:rsidRPr="004E5878">
              <w:rPr>
                <w:sz w:val="18"/>
                <w:szCs w:val="18"/>
              </w:rPr>
              <w:t>+0,0%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C16800D" w14:textId="77777777" w:rsidR="00F30BEB" w:rsidRPr="004E5878" w:rsidRDefault="004E5878" w:rsidP="004E5878">
            <w:pPr>
              <w:spacing w:line="360" w:lineRule="auto"/>
            </w:pPr>
            <w:r w:rsidRPr="004E5878">
              <w:rPr>
                <w:b/>
                <w:bCs/>
                <w:sz w:val="18"/>
                <w:szCs w:val="18"/>
              </w:rPr>
              <w:t>=</w:t>
            </w:r>
          </w:p>
        </w:tc>
      </w:tr>
      <w:tr w:rsidR="004E5878" w:rsidRPr="004E5878" w14:paraId="564C582B"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1E45276C" w14:textId="77777777" w:rsidR="00F30BEB" w:rsidRPr="004E5878" w:rsidRDefault="004E5878" w:rsidP="004E5878">
            <w:pPr>
              <w:spacing w:line="360" w:lineRule="auto"/>
            </w:pPr>
            <w:r w:rsidRPr="004E5878">
              <w:rPr>
                <w:sz w:val="18"/>
                <w:szCs w:val="18"/>
              </w:rPr>
              <w:t>Cueto</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5E060F48" w14:textId="77777777" w:rsidR="00F30BEB" w:rsidRPr="004E5878" w:rsidRDefault="004E5878" w:rsidP="004E5878">
            <w:pPr>
              <w:spacing w:line="360" w:lineRule="auto"/>
            </w:pPr>
            <w:r w:rsidRPr="004E5878">
              <w:rPr>
                <w:sz w:val="18"/>
                <w:szCs w:val="18"/>
              </w:rPr>
              <w:t>8</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9852E13"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5455E79" w14:textId="77777777" w:rsidR="00F30BEB" w:rsidRPr="004E5878" w:rsidRDefault="004E5878" w:rsidP="004E5878">
            <w:pPr>
              <w:spacing w:line="360" w:lineRule="auto"/>
            </w:pPr>
            <w:r w:rsidRPr="004E5878">
              <w:rPr>
                <w:sz w:val="18"/>
                <w:szCs w:val="18"/>
              </w:rPr>
              <w:t>2,9%</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146446B"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FBB651B" w14:textId="77777777" w:rsidR="00F30BEB" w:rsidRPr="004E5878" w:rsidRDefault="004E5878" w:rsidP="004E5878">
            <w:pPr>
              <w:spacing w:line="360" w:lineRule="auto"/>
            </w:pPr>
            <w:r w:rsidRPr="004E5878">
              <w:rPr>
                <w:sz w:val="18"/>
                <w:szCs w:val="18"/>
              </w:rPr>
              <w:t>1,9%</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5322AB67" w14:textId="77777777" w:rsidR="00F30BEB" w:rsidRPr="004E5878" w:rsidRDefault="004E5878" w:rsidP="004E5878">
            <w:pPr>
              <w:spacing w:line="360" w:lineRule="auto"/>
            </w:pPr>
            <w:r w:rsidRPr="004E5878">
              <w:rPr>
                <w:sz w:val="18"/>
                <w:szCs w:val="18"/>
              </w:rPr>
              <w:t>0</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41677B0" w14:textId="77777777" w:rsidR="00F30BEB" w:rsidRPr="004E5878" w:rsidRDefault="004E5878" w:rsidP="004E5878">
            <w:pPr>
              <w:spacing w:line="360" w:lineRule="auto"/>
            </w:pPr>
            <w:r w:rsidRPr="004E5878">
              <w:rPr>
                <w:sz w:val="18"/>
                <w:szCs w:val="18"/>
              </w:rPr>
              <w:t>+0,0%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CFAA302" w14:textId="77777777" w:rsidR="00F30BEB" w:rsidRPr="004E5878" w:rsidRDefault="004E5878" w:rsidP="004E5878">
            <w:pPr>
              <w:spacing w:line="360" w:lineRule="auto"/>
            </w:pPr>
            <w:r w:rsidRPr="004E5878">
              <w:rPr>
                <w:b/>
                <w:bCs/>
                <w:sz w:val="18"/>
                <w:szCs w:val="18"/>
              </w:rPr>
              <w:t>=</w:t>
            </w:r>
          </w:p>
        </w:tc>
      </w:tr>
      <w:tr w:rsidR="004E5878" w:rsidRPr="004E5878" w14:paraId="6D6D45DD" w14:textId="77777777">
        <w:tc>
          <w:tcPr>
            <w:tcW w:w="2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49DF5EA9" w14:textId="77777777" w:rsidR="00F30BEB" w:rsidRPr="004E5878" w:rsidRDefault="004E5878" w:rsidP="004E5878">
            <w:pPr>
              <w:spacing w:line="360" w:lineRule="auto"/>
            </w:pPr>
            <w:r w:rsidRPr="004E5878">
              <w:rPr>
                <w:sz w:val="18"/>
                <w:szCs w:val="18"/>
              </w:rPr>
              <w:t>Frank País</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93F4899" w14:textId="77777777" w:rsidR="00F30BEB" w:rsidRPr="004E5878" w:rsidRDefault="004E5878" w:rsidP="004E5878">
            <w:pPr>
              <w:spacing w:line="360" w:lineRule="auto"/>
            </w:pPr>
            <w:r w:rsidRPr="004E5878">
              <w:rPr>
                <w:sz w:val="18"/>
                <w:szCs w:val="18"/>
              </w:rPr>
              <w:t>8</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BD0C8D6"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3B57683" w14:textId="77777777" w:rsidR="00F30BEB" w:rsidRPr="004E5878" w:rsidRDefault="004E5878" w:rsidP="004E5878">
            <w:pPr>
              <w:spacing w:line="360" w:lineRule="auto"/>
            </w:pPr>
            <w:r w:rsidRPr="004E5878">
              <w:rPr>
                <w:sz w:val="18"/>
                <w:szCs w:val="18"/>
              </w:rPr>
              <w:t>2,9%</w:t>
            </w:r>
          </w:p>
        </w:tc>
        <w:tc>
          <w:tcPr>
            <w:tcW w:w="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3903EFA"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FCCF049" w14:textId="77777777" w:rsidR="00F30BEB" w:rsidRPr="004E5878" w:rsidRDefault="004E5878" w:rsidP="004E5878">
            <w:pPr>
              <w:spacing w:line="360" w:lineRule="auto"/>
            </w:pPr>
            <w:r w:rsidRPr="004E5878">
              <w:rPr>
                <w:sz w:val="18"/>
                <w:szCs w:val="18"/>
              </w:rPr>
              <w:t>1,9%</w:t>
            </w:r>
          </w:p>
        </w:tc>
        <w:tc>
          <w:tcPr>
            <w:tcW w:w="7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42AF6D6" w14:textId="77777777" w:rsidR="00F30BEB" w:rsidRPr="004E5878" w:rsidRDefault="004E5878" w:rsidP="004E5878">
            <w:pPr>
              <w:spacing w:line="360" w:lineRule="auto"/>
            </w:pPr>
            <w:r w:rsidRPr="004E5878">
              <w:rPr>
                <w:sz w:val="18"/>
                <w:szCs w:val="18"/>
              </w:rPr>
              <w:t>0</w:t>
            </w:r>
          </w:p>
        </w:tc>
        <w:tc>
          <w:tcPr>
            <w:tcW w:w="9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F4C532C" w14:textId="77777777" w:rsidR="00F30BEB" w:rsidRPr="004E5878" w:rsidRDefault="004E5878" w:rsidP="004E5878">
            <w:pPr>
              <w:spacing w:line="360" w:lineRule="auto"/>
            </w:pPr>
            <w:r w:rsidRPr="004E5878">
              <w:rPr>
                <w:sz w:val="18"/>
                <w:szCs w:val="18"/>
              </w:rPr>
              <w:t>+0,0%</w:t>
            </w:r>
          </w:p>
        </w:tc>
        <w:tc>
          <w:tcPr>
            <w:tcW w:w="73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E1F9A40" w14:textId="77777777" w:rsidR="00F30BEB" w:rsidRPr="004E5878" w:rsidRDefault="004E5878" w:rsidP="004E5878">
            <w:pPr>
              <w:spacing w:line="360" w:lineRule="auto"/>
            </w:pPr>
            <w:r w:rsidRPr="004E5878">
              <w:rPr>
                <w:b/>
                <w:bCs/>
                <w:sz w:val="18"/>
                <w:szCs w:val="18"/>
              </w:rPr>
              <w:t>=</w:t>
            </w:r>
          </w:p>
        </w:tc>
      </w:tr>
      <w:tr w:rsidR="004E5878" w:rsidRPr="004E5878" w14:paraId="22010BBF" w14:textId="77777777">
        <w:tc>
          <w:tcPr>
            <w:tcW w:w="2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141E2D78" w14:textId="77777777" w:rsidR="00F30BEB" w:rsidRPr="004E5878" w:rsidRDefault="004E5878" w:rsidP="004E5878">
            <w:pPr>
              <w:spacing w:line="360" w:lineRule="auto"/>
            </w:pPr>
            <w:r w:rsidRPr="004E5878">
              <w:rPr>
                <w:sz w:val="18"/>
                <w:szCs w:val="18"/>
              </w:rPr>
              <w:t>Urbano Noris</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4C30392" w14:textId="77777777" w:rsidR="00F30BEB" w:rsidRPr="004E5878" w:rsidRDefault="004E5878" w:rsidP="004E5878">
            <w:pPr>
              <w:spacing w:line="360" w:lineRule="auto"/>
            </w:pPr>
            <w:r w:rsidRPr="004E5878">
              <w:rPr>
                <w:sz w:val="18"/>
                <w:szCs w:val="18"/>
              </w:rPr>
              <w:t>6</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86CF3F9" w14:textId="77777777" w:rsidR="00F30BEB" w:rsidRPr="004E5878" w:rsidRDefault="004E5878" w:rsidP="004E5878">
            <w:pPr>
              <w:spacing w:line="360" w:lineRule="auto"/>
            </w:pPr>
            <w:r w:rsidRPr="004E5878">
              <w:rPr>
                <w:sz w:val="18"/>
                <w:szCs w:val="18"/>
              </w:rPr>
              <w:t>1</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6D85B90" w14:textId="77777777" w:rsidR="00F30BEB" w:rsidRPr="004E5878" w:rsidRDefault="004E5878" w:rsidP="004E5878">
            <w:pPr>
              <w:spacing w:line="360" w:lineRule="auto"/>
            </w:pPr>
            <w:r w:rsidRPr="004E5878">
              <w:rPr>
                <w:sz w:val="18"/>
                <w:szCs w:val="18"/>
              </w:rPr>
              <w:t>2,9%</w:t>
            </w:r>
          </w:p>
        </w:tc>
        <w:tc>
          <w:tcPr>
            <w:tcW w:w="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53DA7C9" w14:textId="77777777" w:rsidR="00F30BEB" w:rsidRPr="004E5878" w:rsidRDefault="004E5878" w:rsidP="004E5878">
            <w:pPr>
              <w:spacing w:line="360" w:lineRule="auto"/>
            </w:pPr>
            <w:r w:rsidRPr="004E5878">
              <w:rPr>
                <w:sz w:val="18"/>
                <w:szCs w:val="18"/>
              </w:rPr>
              <w:t>0</w:t>
            </w:r>
          </w:p>
        </w:tc>
        <w:tc>
          <w:tcPr>
            <w:tcW w:w="86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95AA942" w14:textId="77777777" w:rsidR="00F30BEB" w:rsidRPr="004E5878" w:rsidRDefault="004E5878" w:rsidP="004E5878">
            <w:pPr>
              <w:spacing w:line="360" w:lineRule="auto"/>
            </w:pPr>
            <w:r w:rsidRPr="004E5878">
              <w:rPr>
                <w:sz w:val="18"/>
                <w:szCs w:val="18"/>
              </w:rPr>
              <w:t>0,0%</w:t>
            </w:r>
          </w:p>
        </w:tc>
        <w:tc>
          <w:tcPr>
            <w:tcW w:w="7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61BF747" w14:textId="77777777" w:rsidR="00F30BEB" w:rsidRPr="004E5878" w:rsidRDefault="004E5878" w:rsidP="004E5878">
            <w:pPr>
              <w:spacing w:line="360" w:lineRule="auto"/>
            </w:pPr>
            <w:r w:rsidRPr="004E5878">
              <w:rPr>
                <w:sz w:val="18"/>
                <w:szCs w:val="18"/>
              </w:rPr>
              <w:t>-1</w:t>
            </w:r>
          </w:p>
        </w:tc>
        <w:tc>
          <w:tcPr>
            <w:tcW w:w="9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9EA68BD" w14:textId="77777777" w:rsidR="00F30BEB" w:rsidRPr="004E5878" w:rsidRDefault="004E5878" w:rsidP="004E5878">
            <w:pPr>
              <w:spacing w:line="360" w:lineRule="auto"/>
            </w:pPr>
            <w:r w:rsidRPr="004E5878">
              <w:rPr>
                <w:sz w:val="18"/>
                <w:szCs w:val="18"/>
              </w:rPr>
              <w:t>-100,0%</w:t>
            </w:r>
          </w:p>
        </w:tc>
        <w:tc>
          <w:tcPr>
            <w:tcW w:w="73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0C0DD93" w14:textId="77777777" w:rsidR="00F30BEB" w:rsidRPr="004E5878" w:rsidRDefault="004E5878" w:rsidP="004E5878">
            <w:pPr>
              <w:spacing w:line="360" w:lineRule="auto"/>
            </w:pPr>
            <w:r w:rsidRPr="004E5878">
              <w:rPr>
                <w:b/>
                <w:bCs/>
                <w:sz w:val="18"/>
                <w:szCs w:val="18"/>
              </w:rPr>
              <w:t>▼</w:t>
            </w:r>
          </w:p>
        </w:tc>
      </w:tr>
      <w:tr w:rsidR="004E5878" w:rsidRPr="004E5878" w14:paraId="7E63F6C3" w14:textId="77777777">
        <w:tc>
          <w:tcPr>
            <w:tcW w:w="24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tcPr>
          <w:p w14:paraId="1D2C72D5" w14:textId="77777777" w:rsidR="00F30BEB" w:rsidRPr="004E5878" w:rsidRDefault="004E5878" w:rsidP="004E5878">
            <w:pPr>
              <w:spacing w:line="360" w:lineRule="auto"/>
            </w:pPr>
            <w:r w:rsidRPr="004E5878">
              <w:rPr>
                <w:b/>
                <w:bCs/>
                <w:sz w:val="18"/>
                <w:szCs w:val="18"/>
              </w:rPr>
              <w:t>Total</w:t>
            </w:r>
          </w:p>
        </w:tc>
        <w:tc>
          <w:tcPr>
            <w:tcW w:w="9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D3E240E" w14:textId="77777777" w:rsidR="00F30BEB" w:rsidRPr="004E5878" w:rsidRDefault="004E5878" w:rsidP="004E5878">
            <w:pPr>
              <w:spacing w:line="360" w:lineRule="auto"/>
            </w:pPr>
            <w:r w:rsidRPr="004E5878">
              <w:rPr>
                <w:b/>
                <w:bCs/>
                <w:sz w:val="18"/>
                <w:szCs w:val="18"/>
              </w:rPr>
              <w:t>250</w:t>
            </w:r>
          </w:p>
        </w:tc>
        <w:tc>
          <w:tcPr>
            <w:tcW w:w="8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63F9FC49" w14:textId="77777777" w:rsidR="00F30BEB" w:rsidRPr="004E5878" w:rsidRDefault="004E5878" w:rsidP="004E5878">
            <w:pPr>
              <w:spacing w:line="360" w:lineRule="auto"/>
            </w:pPr>
            <w:r w:rsidRPr="004E5878">
              <w:rPr>
                <w:b/>
                <w:bCs/>
                <w:sz w:val="18"/>
                <w:szCs w:val="18"/>
              </w:rPr>
              <w:t>35</w:t>
            </w:r>
          </w:p>
        </w:tc>
        <w:tc>
          <w:tcPr>
            <w:tcW w:w="86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08505623" w14:textId="77777777" w:rsidR="00F30BEB" w:rsidRPr="004E5878" w:rsidRDefault="004E5878" w:rsidP="004E5878">
            <w:pPr>
              <w:spacing w:line="360" w:lineRule="auto"/>
            </w:pPr>
            <w:r w:rsidRPr="004E5878">
              <w:rPr>
                <w:b/>
                <w:bCs/>
                <w:sz w:val="18"/>
                <w:szCs w:val="18"/>
              </w:rPr>
              <w:t>100,0%</w:t>
            </w:r>
          </w:p>
        </w:tc>
        <w:tc>
          <w:tcPr>
            <w:tcW w:w="8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0D05397C" w14:textId="77777777" w:rsidR="00F30BEB" w:rsidRPr="004E5878" w:rsidRDefault="004E5878" w:rsidP="004E5878">
            <w:pPr>
              <w:spacing w:line="360" w:lineRule="auto"/>
            </w:pPr>
            <w:r w:rsidRPr="004E5878">
              <w:rPr>
                <w:b/>
                <w:bCs/>
                <w:sz w:val="18"/>
                <w:szCs w:val="18"/>
              </w:rPr>
              <w:t>52</w:t>
            </w:r>
          </w:p>
        </w:tc>
        <w:tc>
          <w:tcPr>
            <w:tcW w:w="86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1C7B0970" w14:textId="77777777" w:rsidR="00F30BEB" w:rsidRPr="004E5878" w:rsidRDefault="004E5878" w:rsidP="004E5878">
            <w:pPr>
              <w:spacing w:line="360" w:lineRule="auto"/>
            </w:pPr>
            <w:r w:rsidRPr="004E5878">
              <w:rPr>
                <w:b/>
                <w:bCs/>
                <w:sz w:val="18"/>
                <w:szCs w:val="18"/>
              </w:rPr>
              <w:t>100,0%</w:t>
            </w:r>
          </w:p>
        </w:tc>
        <w:tc>
          <w:tcPr>
            <w:tcW w:w="7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3725DACA" w14:textId="77777777" w:rsidR="00F30BEB" w:rsidRPr="004E5878" w:rsidRDefault="004E5878" w:rsidP="004E5878">
            <w:pPr>
              <w:spacing w:line="360" w:lineRule="auto"/>
            </w:pPr>
            <w:r w:rsidRPr="004E5878">
              <w:rPr>
                <w:b/>
                <w:bCs/>
                <w:sz w:val="18"/>
                <w:szCs w:val="18"/>
              </w:rPr>
              <w:t>+17</w:t>
            </w:r>
          </w:p>
        </w:tc>
        <w:tc>
          <w:tcPr>
            <w:tcW w:w="9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2474DB3" w14:textId="77777777" w:rsidR="00F30BEB" w:rsidRPr="004E5878" w:rsidRDefault="004E5878" w:rsidP="004E5878">
            <w:pPr>
              <w:spacing w:line="360" w:lineRule="auto"/>
            </w:pPr>
            <w:r w:rsidRPr="004E5878">
              <w:rPr>
                <w:b/>
                <w:bCs/>
                <w:sz w:val="18"/>
                <w:szCs w:val="18"/>
              </w:rPr>
              <w:t>+48,6%</w:t>
            </w:r>
          </w:p>
        </w:tc>
        <w:tc>
          <w:tcPr>
            <w:tcW w:w="73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47CAF75" w14:textId="77777777" w:rsidR="00F30BEB" w:rsidRPr="004E5878" w:rsidRDefault="004E5878" w:rsidP="004E5878">
            <w:pPr>
              <w:spacing w:line="360" w:lineRule="auto"/>
            </w:pPr>
            <w:r w:rsidRPr="004E5878">
              <w:rPr>
                <w:b/>
                <w:bCs/>
                <w:sz w:val="18"/>
                <w:szCs w:val="18"/>
              </w:rPr>
              <w:t>▲</w:t>
            </w:r>
          </w:p>
        </w:tc>
      </w:tr>
    </w:tbl>
    <w:p w14:paraId="5BFEA02F" w14:textId="77777777" w:rsidR="00F30BEB" w:rsidRPr="004E5878" w:rsidRDefault="004E5878" w:rsidP="004E5878">
      <w:pPr>
        <w:spacing w:line="360" w:lineRule="auto"/>
      </w:pPr>
      <w:r w:rsidRPr="004E5878">
        <w:rPr>
          <w:i/>
          <w:iCs/>
          <w:sz w:val="17"/>
          <w:szCs w:val="17"/>
        </w:rPr>
        <w:t xml:space="preserve">Fuente: Registros académicos de la Universidad de Ciencias Médicas de Holguín. </w:t>
      </w:r>
      <w:proofErr w:type="spellStart"/>
      <w:r w:rsidRPr="004E5878">
        <w:rPr>
          <w:i/>
          <w:iCs/>
          <w:sz w:val="17"/>
          <w:szCs w:val="17"/>
        </w:rPr>
        <w:t>Matr</w:t>
      </w:r>
      <w:proofErr w:type="spellEnd"/>
      <w:r w:rsidRPr="004E5878">
        <w:rPr>
          <w:i/>
          <w:iCs/>
          <w:sz w:val="17"/>
          <w:szCs w:val="17"/>
        </w:rPr>
        <w:t xml:space="preserve">.: matrícula de residentes al inicio del curso 2024–2025. ▲: incremento; ▼: descenso; =: sin variación. </w:t>
      </w:r>
      <w:proofErr w:type="spellStart"/>
      <w:r w:rsidRPr="004E5878">
        <w:rPr>
          <w:i/>
          <w:iCs/>
          <w:sz w:val="17"/>
          <w:szCs w:val="17"/>
        </w:rPr>
        <w:t>Δn</w:t>
      </w:r>
      <w:proofErr w:type="spellEnd"/>
      <w:r w:rsidRPr="004E5878">
        <w:rPr>
          <w:i/>
          <w:iCs/>
          <w:sz w:val="17"/>
          <w:szCs w:val="17"/>
        </w:rPr>
        <w:t xml:space="preserve">: diferencia absoluta. Var. %: variación porcentual entre cursos. </w:t>
      </w:r>
      <w:proofErr w:type="spellStart"/>
      <w:r w:rsidRPr="004E5878">
        <w:rPr>
          <w:i/>
          <w:iCs/>
          <w:sz w:val="17"/>
          <w:szCs w:val="17"/>
        </w:rPr>
        <w:t>Tend</w:t>
      </w:r>
      <w:proofErr w:type="spellEnd"/>
      <w:r w:rsidRPr="004E5878">
        <w:rPr>
          <w:i/>
          <w:iCs/>
          <w:sz w:val="17"/>
          <w:szCs w:val="17"/>
        </w:rPr>
        <w:t>.: tendencia.</w:t>
      </w:r>
    </w:p>
    <w:p w14:paraId="525402F7" w14:textId="77777777" w:rsidR="00F30BEB" w:rsidRPr="004E5878" w:rsidRDefault="00F30BEB" w:rsidP="004E5878">
      <w:pPr>
        <w:spacing w:line="360" w:lineRule="auto"/>
      </w:pPr>
    </w:p>
    <w:p w14:paraId="7C029A0A" w14:textId="77777777" w:rsidR="00F30BEB" w:rsidRPr="004E5878" w:rsidRDefault="004E5878" w:rsidP="004E5878">
      <w:pPr>
        <w:spacing w:line="360" w:lineRule="auto"/>
      </w:pPr>
      <w:r w:rsidRPr="004E5878">
        <w:rPr>
          <w:sz w:val="22"/>
        </w:rPr>
        <w:t xml:space="preserve">La Tabla 1 evidencia que el municipio de Holguín concentró el mayor número de bajas en ambos períodos (2023–24: n=10; 2024–25: n=14; 29,8 % del total provincial). Le siguieron Mayarí (n=6; 12,8 %), Moa y Banes (n=5 cada uno; 10,6 %). Los municipios de Gibara y Calixto García duplicaron sus casos respecto al año anterior (+100,0 % c/u), al igual que Antilla. Urbano Noris fue el único </w:t>
      </w:r>
      <w:r w:rsidRPr="004E5878">
        <w:rPr>
          <w:sz w:val="22"/>
        </w:rPr>
        <w:lastRenderedPageBreak/>
        <w:t>municipio que no registró bajas en el curso 2024–2025, frente a un caso registrado en el período anterior.</w:t>
      </w:r>
      <w:r w:rsidRPr="004E5878">
        <w:rPr>
          <w:sz w:val="16"/>
          <w:szCs w:val="16"/>
          <w:vertAlign w:val="superscript"/>
        </w:rPr>
        <w:t xml:space="preserve"> (6)</w:t>
      </w:r>
    </w:p>
    <w:p w14:paraId="0ADC6972" w14:textId="77777777" w:rsidR="00F30BEB" w:rsidRPr="004E5878" w:rsidRDefault="00F30BEB" w:rsidP="004E5878">
      <w:pPr>
        <w:spacing w:line="360" w:lineRule="auto"/>
      </w:pPr>
    </w:p>
    <w:p w14:paraId="44C5FEF9" w14:textId="77777777" w:rsidR="00F30BEB" w:rsidRPr="004E5878" w:rsidRDefault="004E5878" w:rsidP="004E5878">
      <w:pPr>
        <w:spacing w:line="360" w:lineRule="auto"/>
      </w:pPr>
      <w:r w:rsidRPr="004E5878">
        <w:rPr>
          <w:b/>
          <w:bCs/>
          <w:sz w:val="20"/>
          <w:szCs w:val="20"/>
        </w:rPr>
        <w:t xml:space="preserve">Tabla 2. Distribución de bajas según año de residencia. </w:t>
      </w:r>
      <w:proofErr w:type="gramStart"/>
      <w:r w:rsidRPr="004E5878">
        <w:rPr>
          <w:b/>
          <w:bCs/>
          <w:sz w:val="20"/>
          <w:szCs w:val="20"/>
        </w:rPr>
        <w:t>Comparativo cursos</w:t>
      </w:r>
      <w:proofErr w:type="gramEnd"/>
      <w:r w:rsidRPr="004E5878">
        <w:rPr>
          <w:b/>
          <w:bCs/>
          <w:sz w:val="20"/>
          <w:szCs w:val="20"/>
        </w:rPr>
        <w:t xml:space="preserve"> 2023–2024 y 2024–2025. Provincia de Holguín.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350"/>
        <w:gridCol w:w="1350"/>
        <w:gridCol w:w="1350"/>
        <w:gridCol w:w="1350"/>
        <w:gridCol w:w="1400"/>
      </w:tblGrid>
      <w:tr w:rsidR="004E5878" w:rsidRPr="004E5878" w14:paraId="6C9F5F3D" w14:textId="77777777">
        <w:tc>
          <w:tcPr>
            <w:tcW w:w="26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7AD37803" w14:textId="77777777" w:rsidR="00F30BEB" w:rsidRPr="004E5878" w:rsidRDefault="004E5878" w:rsidP="004E5878">
            <w:pPr>
              <w:spacing w:line="360" w:lineRule="auto"/>
            </w:pPr>
            <w:r w:rsidRPr="004E5878">
              <w:rPr>
                <w:b/>
                <w:bCs/>
                <w:sz w:val="17"/>
                <w:szCs w:val="17"/>
              </w:rPr>
              <w:t>Año de residencia</w:t>
            </w:r>
          </w:p>
        </w:tc>
        <w:tc>
          <w:tcPr>
            <w:tcW w:w="13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DAFF7F7" w14:textId="77777777" w:rsidR="00F30BEB" w:rsidRPr="004E5878" w:rsidRDefault="004E5878" w:rsidP="004E5878">
            <w:pPr>
              <w:spacing w:line="360" w:lineRule="auto"/>
            </w:pPr>
            <w:r w:rsidRPr="004E5878">
              <w:rPr>
                <w:b/>
                <w:bCs/>
                <w:sz w:val="17"/>
                <w:szCs w:val="17"/>
              </w:rPr>
              <w:t>2023–24 n</w:t>
            </w:r>
          </w:p>
        </w:tc>
        <w:tc>
          <w:tcPr>
            <w:tcW w:w="13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02C86F5D" w14:textId="77777777" w:rsidR="00F30BEB" w:rsidRPr="004E5878" w:rsidRDefault="004E5878" w:rsidP="004E5878">
            <w:pPr>
              <w:spacing w:line="360" w:lineRule="auto"/>
            </w:pPr>
            <w:r w:rsidRPr="004E5878">
              <w:rPr>
                <w:b/>
                <w:bCs/>
                <w:sz w:val="17"/>
                <w:szCs w:val="17"/>
              </w:rPr>
              <w:t>2023–24 %</w:t>
            </w:r>
          </w:p>
        </w:tc>
        <w:tc>
          <w:tcPr>
            <w:tcW w:w="13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5E64F1D7" w14:textId="77777777" w:rsidR="00F30BEB" w:rsidRPr="004E5878" w:rsidRDefault="004E5878" w:rsidP="004E5878">
            <w:pPr>
              <w:spacing w:line="360" w:lineRule="auto"/>
            </w:pPr>
            <w:r w:rsidRPr="004E5878">
              <w:rPr>
                <w:b/>
                <w:bCs/>
                <w:sz w:val="17"/>
                <w:szCs w:val="17"/>
              </w:rPr>
              <w:t>2024–25 n</w:t>
            </w:r>
          </w:p>
        </w:tc>
        <w:tc>
          <w:tcPr>
            <w:tcW w:w="13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619EA1A4" w14:textId="77777777" w:rsidR="00F30BEB" w:rsidRPr="004E5878" w:rsidRDefault="004E5878" w:rsidP="004E5878">
            <w:pPr>
              <w:spacing w:line="360" w:lineRule="auto"/>
            </w:pPr>
            <w:r w:rsidRPr="004E5878">
              <w:rPr>
                <w:b/>
                <w:bCs/>
                <w:sz w:val="17"/>
                <w:szCs w:val="17"/>
              </w:rPr>
              <w:t>2024–25 %</w:t>
            </w:r>
          </w:p>
        </w:tc>
        <w:tc>
          <w:tcPr>
            <w:tcW w:w="14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DAC0DF0" w14:textId="77777777" w:rsidR="00F30BEB" w:rsidRPr="004E5878" w:rsidRDefault="004E5878" w:rsidP="004E5878">
            <w:pPr>
              <w:spacing w:line="360" w:lineRule="auto"/>
            </w:pPr>
            <w:r w:rsidRPr="004E5878">
              <w:rPr>
                <w:b/>
                <w:bCs/>
                <w:sz w:val="17"/>
                <w:szCs w:val="17"/>
              </w:rPr>
              <w:t>Variación</w:t>
            </w:r>
          </w:p>
        </w:tc>
      </w:tr>
      <w:tr w:rsidR="004E5878" w:rsidRPr="004E5878" w14:paraId="7D8E38CB" w14:textId="77777777">
        <w:tc>
          <w:tcPr>
            <w:tcW w:w="26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3915AA10" w14:textId="77777777" w:rsidR="00F30BEB" w:rsidRPr="004E5878" w:rsidRDefault="004E5878" w:rsidP="004E5878">
            <w:pPr>
              <w:spacing w:line="360" w:lineRule="auto"/>
            </w:pPr>
            <w:r w:rsidRPr="004E5878">
              <w:rPr>
                <w:sz w:val="18"/>
                <w:szCs w:val="18"/>
              </w:rPr>
              <w:t>Primer año</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F29E7E1" w14:textId="77777777" w:rsidR="00F30BEB" w:rsidRPr="004E5878" w:rsidRDefault="004E5878" w:rsidP="004E5878">
            <w:pPr>
              <w:spacing w:line="360" w:lineRule="auto"/>
            </w:pPr>
            <w:r w:rsidRPr="004E5878">
              <w:rPr>
                <w:sz w:val="18"/>
                <w:szCs w:val="18"/>
              </w:rPr>
              <w:t>16</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5B161D4" w14:textId="77777777" w:rsidR="00F30BEB" w:rsidRPr="004E5878" w:rsidRDefault="004E5878" w:rsidP="004E5878">
            <w:pPr>
              <w:spacing w:line="360" w:lineRule="auto"/>
            </w:pPr>
            <w:r w:rsidRPr="004E5878">
              <w:rPr>
                <w:sz w:val="18"/>
                <w:szCs w:val="18"/>
              </w:rPr>
              <w:t>48,5%</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102D99C" w14:textId="77777777" w:rsidR="00F30BEB" w:rsidRPr="004E5878" w:rsidRDefault="004E5878" w:rsidP="004E5878">
            <w:pPr>
              <w:spacing w:line="360" w:lineRule="auto"/>
            </w:pPr>
            <w:r w:rsidRPr="004E5878">
              <w:rPr>
                <w:sz w:val="18"/>
                <w:szCs w:val="18"/>
              </w:rPr>
              <w:t>22</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562F61C" w14:textId="77777777" w:rsidR="00F30BEB" w:rsidRPr="004E5878" w:rsidRDefault="004E5878" w:rsidP="004E5878">
            <w:pPr>
              <w:spacing w:line="360" w:lineRule="auto"/>
            </w:pPr>
            <w:r w:rsidRPr="004E5878">
              <w:rPr>
                <w:sz w:val="18"/>
                <w:szCs w:val="18"/>
              </w:rPr>
              <w:t>46,8%</w:t>
            </w:r>
          </w:p>
        </w:tc>
        <w:tc>
          <w:tcPr>
            <w:tcW w:w="1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088721B" w14:textId="77777777" w:rsidR="00F30BEB" w:rsidRPr="004E5878" w:rsidRDefault="004E5878" w:rsidP="004E5878">
            <w:pPr>
              <w:spacing w:line="360" w:lineRule="auto"/>
            </w:pPr>
            <w:r w:rsidRPr="004E5878">
              <w:rPr>
                <w:sz w:val="18"/>
                <w:szCs w:val="18"/>
              </w:rPr>
              <w:t>+37,5%</w:t>
            </w:r>
          </w:p>
        </w:tc>
      </w:tr>
      <w:tr w:rsidR="004E5878" w:rsidRPr="004E5878" w14:paraId="43309746" w14:textId="77777777">
        <w:tc>
          <w:tcPr>
            <w:tcW w:w="26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5425AC6C" w14:textId="77777777" w:rsidR="00F30BEB" w:rsidRPr="004E5878" w:rsidRDefault="004E5878" w:rsidP="004E5878">
            <w:pPr>
              <w:spacing w:line="360" w:lineRule="auto"/>
            </w:pPr>
            <w:r w:rsidRPr="004E5878">
              <w:rPr>
                <w:sz w:val="18"/>
                <w:szCs w:val="18"/>
              </w:rPr>
              <w:t>Segundo año</w:t>
            </w:r>
          </w:p>
        </w:tc>
        <w:tc>
          <w:tcPr>
            <w:tcW w:w="13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4547BA2" w14:textId="77777777" w:rsidR="00F30BEB" w:rsidRPr="004E5878" w:rsidRDefault="004E5878" w:rsidP="004E5878">
            <w:pPr>
              <w:spacing w:line="360" w:lineRule="auto"/>
            </w:pPr>
            <w:r w:rsidRPr="004E5878">
              <w:rPr>
                <w:sz w:val="18"/>
                <w:szCs w:val="18"/>
              </w:rPr>
              <w:t>12</w:t>
            </w:r>
          </w:p>
        </w:tc>
        <w:tc>
          <w:tcPr>
            <w:tcW w:w="13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817CBDE" w14:textId="77777777" w:rsidR="00F30BEB" w:rsidRPr="004E5878" w:rsidRDefault="004E5878" w:rsidP="004E5878">
            <w:pPr>
              <w:spacing w:line="360" w:lineRule="auto"/>
            </w:pPr>
            <w:r w:rsidRPr="004E5878">
              <w:rPr>
                <w:sz w:val="18"/>
                <w:szCs w:val="18"/>
              </w:rPr>
              <w:t>36,4%</w:t>
            </w:r>
          </w:p>
        </w:tc>
        <w:tc>
          <w:tcPr>
            <w:tcW w:w="13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3F4F191" w14:textId="77777777" w:rsidR="00F30BEB" w:rsidRPr="004E5878" w:rsidRDefault="004E5878" w:rsidP="004E5878">
            <w:pPr>
              <w:spacing w:line="360" w:lineRule="auto"/>
            </w:pPr>
            <w:r w:rsidRPr="004E5878">
              <w:rPr>
                <w:sz w:val="18"/>
                <w:szCs w:val="18"/>
              </w:rPr>
              <w:t>17</w:t>
            </w:r>
          </w:p>
        </w:tc>
        <w:tc>
          <w:tcPr>
            <w:tcW w:w="13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6E43380" w14:textId="77777777" w:rsidR="00F30BEB" w:rsidRPr="004E5878" w:rsidRDefault="004E5878" w:rsidP="004E5878">
            <w:pPr>
              <w:spacing w:line="360" w:lineRule="auto"/>
            </w:pPr>
            <w:r w:rsidRPr="004E5878">
              <w:rPr>
                <w:sz w:val="18"/>
                <w:szCs w:val="18"/>
              </w:rPr>
              <w:t>36,2%</w:t>
            </w:r>
          </w:p>
        </w:tc>
        <w:tc>
          <w:tcPr>
            <w:tcW w:w="1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B987797" w14:textId="77777777" w:rsidR="00F30BEB" w:rsidRPr="004E5878" w:rsidRDefault="004E5878" w:rsidP="004E5878">
            <w:pPr>
              <w:spacing w:line="360" w:lineRule="auto"/>
            </w:pPr>
            <w:r w:rsidRPr="004E5878">
              <w:rPr>
                <w:sz w:val="18"/>
                <w:szCs w:val="18"/>
              </w:rPr>
              <w:t>+41,7%</w:t>
            </w:r>
          </w:p>
        </w:tc>
      </w:tr>
      <w:tr w:rsidR="004E5878" w:rsidRPr="004E5878" w14:paraId="3524C43A" w14:textId="77777777">
        <w:tc>
          <w:tcPr>
            <w:tcW w:w="26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3A2833D8" w14:textId="77777777" w:rsidR="00F30BEB" w:rsidRPr="004E5878" w:rsidRDefault="004E5878" w:rsidP="004E5878">
            <w:pPr>
              <w:spacing w:line="360" w:lineRule="auto"/>
            </w:pPr>
            <w:r w:rsidRPr="004E5878">
              <w:rPr>
                <w:sz w:val="18"/>
                <w:szCs w:val="18"/>
              </w:rPr>
              <w:t>Tercer año</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359B006" w14:textId="77777777" w:rsidR="00F30BEB" w:rsidRPr="004E5878" w:rsidRDefault="004E5878" w:rsidP="004E5878">
            <w:pPr>
              <w:spacing w:line="360" w:lineRule="auto"/>
            </w:pPr>
            <w:r w:rsidRPr="004E5878">
              <w:rPr>
                <w:sz w:val="18"/>
                <w:szCs w:val="18"/>
              </w:rPr>
              <w:t>5</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2C2A5C2" w14:textId="77777777" w:rsidR="00F30BEB" w:rsidRPr="004E5878" w:rsidRDefault="004E5878" w:rsidP="004E5878">
            <w:pPr>
              <w:spacing w:line="360" w:lineRule="auto"/>
            </w:pPr>
            <w:r w:rsidRPr="004E5878">
              <w:rPr>
                <w:sz w:val="18"/>
                <w:szCs w:val="18"/>
              </w:rPr>
              <w:t>15,2%</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05DB335" w14:textId="77777777" w:rsidR="00F30BEB" w:rsidRPr="004E5878" w:rsidRDefault="004E5878" w:rsidP="004E5878">
            <w:pPr>
              <w:spacing w:line="360" w:lineRule="auto"/>
            </w:pPr>
            <w:r w:rsidRPr="004E5878">
              <w:rPr>
                <w:sz w:val="18"/>
                <w:szCs w:val="18"/>
              </w:rPr>
              <w:t>8</w:t>
            </w:r>
          </w:p>
        </w:tc>
        <w:tc>
          <w:tcPr>
            <w:tcW w:w="13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5B0C6C8" w14:textId="77777777" w:rsidR="00F30BEB" w:rsidRPr="004E5878" w:rsidRDefault="004E5878" w:rsidP="004E5878">
            <w:pPr>
              <w:spacing w:line="360" w:lineRule="auto"/>
            </w:pPr>
            <w:r w:rsidRPr="004E5878">
              <w:rPr>
                <w:sz w:val="18"/>
                <w:szCs w:val="18"/>
              </w:rPr>
              <w:t>17,0%</w:t>
            </w:r>
          </w:p>
        </w:tc>
        <w:tc>
          <w:tcPr>
            <w:tcW w:w="1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9C6A7EB" w14:textId="77777777" w:rsidR="00F30BEB" w:rsidRPr="004E5878" w:rsidRDefault="004E5878" w:rsidP="004E5878">
            <w:pPr>
              <w:spacing w:line="360" w:lineRule="auto"/>
            </w:pPr>
            <w:r w:rsidRPr="004E5878">
              <w:rPr>
                <w:sz w:val="18"/>
                <w:szCs w:val="18"/>
              </w:rPr>
              <w:t>+60,0%</w:t>
            </w:r>
          </w:p>
        </w:tc>
      </w:tr>
      <w:tr w:rsidR="004E5878" w:rsidRPr="004E5878" w14:paraId="2C958E9C" w14:textId="77777777">
        <w:tc>
          <w:tcPr>
            <w:tcW w:w="26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tcPr>
          <w:p w14:paraId="5E88C773" w14:textId="77777777" w:rsidR="00F30BEB" w:rsidRPr="004E5878" w:rsidRDefault="004E5878" w:rsidP="004E5878">
            <w:pPr>
              <w:spacing w:line="360" w:lineRule="auto"/>
            </w:pPr>
            <w:r w:rsidRPr="004E5878">
              <w:rPr>
                <w:b/>
                <w:bCs/>
                <w:sz w:val="18"/>
                <w:szCs w:val="18"/>
              </w:rPr>
              <w:t>Total</w:t>
            </w:r>
          </w:p>
        </w:tc>
        <w:tc>
          <w:tcPr>
            <w:tcW w:w="13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0587393" w14:textId="77777777" w:rsidR="00F30BEB" w:rsidRPr="004E5878" w:rsidRDefault="004E5878" w:rsidP="004E5878">
            <w:pPr>
              <w:spacing w:line="360" w:lineRule="auto"/>
            </w:pPr>
            <w:r w:rsidRPr="004E5878">
              <w:rPr>
                <w:b/>
                <w:bCs/>
                <w:sz w:val="18"/>
                <w:szCs w:val="18"/>
              </w:rPr>
              <w:t>33</w:t>
            </w:r>
          </w:p>
        </w:tc>
        <w:tc>
          <w:tcPr>
            <w:tcW w:w="13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1C569E5A" w14:textId="77777777" w:rsidR="00F30BEB" w:rsidRPr="004E5878" w:rsidRDefault="004E5878" w:rsidP="004E5878">
            <w:pPr>
              <w:spacing w:line="360" w:lineRule="auto"/>
            </w:pPr>
            <w:r w:rsidRPr="004E5878">
              <w:rPr>
                <w:b/>
                <w:bCs/>
                <w:sz w:val="18"/>
                <w:szCs w:val="18"/>
              </w:rPr>
              <w:t>100,0%</w:t>
            </w:r>
          </w:p>
        </w:tc>
        <w:tc>
          <w:tcPr>
            <w:tcW w:w="13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205B544" w14:textId="77777777" w:rsidR="00F30BEB" w:rsidRPr="004E5878" w:rsidRDefault="004E5878" w:rsidP="004E5878">
            <w:pPr>
              <w:spacing w:line="360" w:lineRule="auto"/>
            </w:pPr>
            <w:r w:rsidRPr="004E5878">
              <w:rPr>
                <w:b/>
                <w:bCs/>
                <w:sz w:val="18"/>
                <w:szCs w:val="18"/>
              </w:rPr>
              <w:t>47</w:t>
            </w:r>
          </w:p>
        </w:tc>
        <w:tc>
          <w:tcPr>
            <w:tcW w:w="13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7007D1FC" w14:textId="77777777" w:rsidR="00F30BEB" w:rsidRPr="004E5878" w:rsidRDefault="004E5878" w:rsidP="004E5878">
            <w:pPr>
              <w:spacing w:line="360" w:lineRule="auto"/>
            </w:pPr>
            <w:r w:rsidRPr="004E5878">
              <w:rPr>
                <w:b/>
                <w:bCs/>
                <w:sz w:val="18"/>
                <w:szCs w:val="18"/>
              </w:rPr>
              <w:t>100,0%</w:t>
            </w:r>
          </w:p>
        </w:tc>
        <w:tc>
          <w:tcPr>
            <w:tcW w:w="14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770F9A0B" w14:textId="77777777" w:rsidR="00F30BEB" w:rsidRPr="004E5878" w:rsidRDefault="004E5878" w:rsidP="004E5878">
            <w:pPr>
              <w:spacing w:line="360" w:lineRule="auto"/>
            </w:pPr>
            <w:r w:rsidRPr="004E5878">
              <w:rPr>
                <w:b/>
                <w:bCs/>
                <w:sz w:val="18"/>
                <w:szCs w:val="18"/>
              </w:rPr>
              <w:t>+42,4%</w:t>
            </w:r>
          </w:p>
        </w:tc>
      </w:tr>
    </w:tbl>
    <w:p w14:paraId="008CBED5" w14:textId="77777777" w:rsidR="00F30BEB" w:rsidRPr="004E5878" w:rsidRDefault="004E5878" w:rsidP="004E5878">
      <w:pPr>
        <w:spacing w:line="360" w:lineRule="auto"/>
      </w:pPr>
      <w:r w:rsidRPr="004E5878">
        <w:rPr>
          <w:i/>
          <w:iCs/>
          <w:sz w:val="17"/>
          <w:szCs w:val="17"/>
        </w:rPr>
        <w:t>Fuente: Registros académicos de la Universidad de Ciencias Médicas de Holguín.</w:t>
      </w:r>
    </w:p>
    <w:p w14:paraId="3281A1C9" w14:textId="77777777" w:rsidR="00F30BEB" w:rsidRPr="004E5878" w:rsidRDefault="00F30BEB" w:rsidP="004E5878">
      <w:pPr>
        <w:spacing w:line="360" w:lineRule="auto"/>
      </w:pPr>
    </w:p>
    <w:p w14:paraId="32285C89" w14:textId="77777777" w:rsidR="00F30BEB" w:rsidRPr="004E5878" w:rsidRDefault="004E5878" w:rsidP="004E5878">
      <w:pPr>
        <w:spacing w:line="360" w:lineRule="auto"/>
      </w:pPr>
      <w:r w:rsidRPr="004E5878">
        <w:rPr>
          <w:sz w:val="22"/>
        </w:rPr>
        <w:t>Según la Tabla 2, el primer año de residencia acumuló la mayor proporción de bajas en ambos períodos: 16 casos en 2023–2024 (48,5 %) y 22 en 2024–2025 (46,8 %). Sin embargo, el tercer año presentó el mayor incremento porcentual entre cursos (+60,0 %), al pasar de 5 a 8 casos. Este hallazgo sugiere que las bajas tardías —en residentes próximos a concluir su especialización— constituyen un fenómeno emergente que merece atención prioritaria.</w:t>
      </w:r>
      <w:r w:rsidRPr="004E5878">
        <w:rPr>
          <w:sz w:val="16"/>
          <w:szCs w:val="16"/>
          <w:vertAlign w:val="superscript"/>
        </w:rPr>
        <w:t xml:space="preserve"> (6)</w:t>
      </w:r>
    </w:p>
    <w:p w14:paraId="5172C1CE" w14:textId="77777777" w:rsidR="00F30BEB" w:rsidRPr="004E5878" w:rsidRDefault="00F30BEB" w:rsidP="004E5878">
      <w:pPr>
        <w:spacing w:line="360" w:lineRule="auto"/>
      </w:pPr>
    </w:p>
    <w:p w14:paraId="3A81EFB7" w14:textId="77777777" w:rsidR="00F30BEB" w:rsidRPr="004E5878" w:rsidRDefault="004E5878" w:rsidP="004E5878">
      <w:pPr>
        <w:spacing w:line="360" w:lineRule="auto"/>
      </w:pPr>
      <w:r w:rsidRPr="004E5878">
        <w:rPr>
          <w:b/>
          <w:bCs/>
          <w:sz w:val="20"/>
          <w:szCs w:val="20"/>
        </w:rPr>
        <w:t xml:space="preserve">Tabla 3. Distribución de bajas según causa principal. </w:t>
      </w:r>
      <w:proofErr w:type="gramStart"/>
      <w:r w:rsidRPr="004E5878">
        <w:rPr>
          <w:b/>
          <w:bCs/>
          <w:sz w:val="20"/>
          <w:szCs w:val="20"/>
        </w:rPr>
        <w:t>Comparativo cursos</w:t>
      </w:r>
      <w:proofErr w:type="gramEnd"/>
      <w:r w:rsidRPr="004E5878">
        <w:rPr>
          <w:b/>
          <w:bCs/>
          <w:sz w:val="20"/>
          <w:szCs w:val="20"/>
        </w:rPr>
        <w:t xml:space="preserve"> 2023–2024 y 2024–2025. Provincia de Holguín.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000"/>
        <w:gridCol w:w="1000"/>
        <w:gridCol w:w="1000"/>
        <w:gridCol w:w="1000"/>
        <w:gridCol w:w="2000"/>
      </w:tblGrid>
      <w:tr w:rsidR="004E5878" w:rsidRPr="004E5878" w14:paraId="2458B274" w14:textId="77777777">
        <w:tc>
          <w:tcPr>
            <w:tcW w:w="34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5D6029E" w14:textId="77777777" w:rsidR="00F30BEB" w:rsidRPr="004E5878" w:rsidRDefault="004E5878" w:rsidP="004E5878">
            <w:pPr>
              <w:spacing w:line="360" w:lineRule="auto"/>
            </w:pPr>
            <w:r w:rsidRPr="004E5878">
              <w:rPr>
                <w:b/>
                <w:bCs/>
                <w:sz w:val="17"/>
                <w:szCs w:val="17"/>
              </w:rPr>
              <w:t>Causa principal</w:t>
            </w:r>
          </w:p>
        </w:tc>
        <w:tc>
          <w:tcPr>
            <w:tcW w:w="1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E2F37A6" w14:textId="77777777" w:rsidR="00F30BEB" w:rsidRPr="004E5878" w:rsidRDefault="004E5878" w:rsidP="004E5878">
            <w:pPr>
              <w:spacing w:line="360" w:lineRule="auto"/>
            </w:pPr>
            <w:r w:rsidRPr="004E5878">
              <w:rPr>
                <w:b/>
                <w:bCs/>
                <w:sz w:val="17"/>
                <w:szCs w:val="17"/>
              </w:rPr>
              <w:t>2023–24 n</w:t>
            </w:r>
          </w:p>
        </w:tc>
        <w:tc>
          <w:tcPr>
            <w:tcW w:w="1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476A364" w14:textId="77777777" w:rsidR="00F30BEB" w:rsidRPr="004E5878" w:rsidRDefault="004E5878" w:rsidP="004E5878">
            <w:pPr>
              <w:spacing w:line="360" w:lineRule="auto"/>
            </w:pPr>
            <w:r w:rsidRPr="004E5878">
              <w:rPr>
                <w:b/>
                <w:bCs/>
                <w:sz w:val="17"/>
                <w:szCs w:val="17"/>
              </w:rPr>
              <w:t>2023–24 %</w:t>
            </w:r>
          </w:p>
        </w:tc>
        <w:tc>
          <w:tcPr>
            <w:tcW w:w="1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666DCC4" w14:textId="77777777" w:rsidR="00F30BEB" w:rsidRPr="004E5878" w:rsidRDefault="004E5878" w:rsidP="004E5878">
            <w:pPr>
              <w:spacing w:line="360" w:lineRule="auto"/>
            </w:pPr>
            <w:r w:rsidRPr="004E5878">
              <w:rPr>
                <w:b/>
                <w:bCs/>
                <w:sz w:val="17"/>
                <w:szCs w:val="17"/>
              </w:rPr>
              <w:t>2024–25 n</w:t>
            </w:r>
          </w:p>
        </w:tc>
        <w:tc>
          <w:tcPr>
            <w:tcW w:w="1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53300FD6" w14:textId="77777777" w:rsidR="00F30BEB" w:rsidRPr="004E5878" w:rsidRDefault="004E5878" w:rsidP="004E5878">
            <w:pPr>
              <w:spacing w:line="360" w:lineRule="auto"/>
            </w:pPr>
            <w:r w:rsidRPr="004E5878">
              <w:rPr>
                <w:b/>
                <w:bCs/>
                <w:sz w:val="17"/>
                <w:szCs w:val="17"/>
              </w:rPr>
              <w:t>2024–25 %</w:t>
            </w:r>
          </w:p>
        </w:tc>
        <w:tc>
          <w:tcPr>
            <w:tcW w:w="2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75DC6D44" w14:textId="77777777" w:rsidR="00F30BEB" w:rsidRPr="004E5878" w:rsidRDefault="004E5878" w:rsidP="004E5878">
            <w:pPr>
              <w:spacing w:line="360" w:lineRule="auto"/>
            </w:pPr>
            <w:r w:rsidRPr="004E5878">
              <w:rPr>
                <w:b/>
                <w:bCs/>
                <w:sz w:val="17"/>
                <w:szCs w:val="17"/>
              </w:rPr>
              <w:t>Tendencia</w:t>
            </w:r>
          </w:p>
        </w:tc>
      </w:tr>
      <w:tr w:rsidR="004E5878" w:rsidRPr="004E5878" w14:paraId="14C8178E" w14:textId="77777777">
        <w:tc>
          <w:tcPr>
            <w:tcW w:w="3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79C2E394" w14:textId="77777777" w:rsidR="00F30BEB" w:rsidRPr="004E5878" w:rsidRDefault="004E5878" w:rsidP="004E5878">
            <w:pPr>
              <w:spacing w:line="360" w:lineRule="auto"/>
            </w:pPr>
            <w:r w:rsidRPr="004E5878">
              <w:rPr>
                <w:sz w:val="18"/>
                <w:szCs w:val="18"/>
              </w:rPr>
              <w:t>Causas personales</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4A1A3FE" w14:textId="77777777" w:rsidR="00F30BEB" w:rsidRPr="004E5878" w:rsidRDefault="004E5878" w:rsidP="004E5878">
            <w:pPr>
              <w:spacing w:line="360" w:lineRule="auto"/>
            </w:pPr>
            <w:r w:rsidRPr="004E5878">
              <w:rPr>
                <w:sz w:val="18"/>
                <w:szCs w:val="18"/>
              </w:rPr>
              <w:t>11</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81D319A" w14:textId="77777777" w:rsidR="00F30BEB" w:rsidRPr="004E5878" w:rsidRDefault="004E5878" w:rsidP="004E5878">
            <w:pPr>
              <w:spacing w:line="360" w:lineRule="auto"/>
            </w:pPr>
            <w:r w:rsidRPr="004E5878">
              <w:rPr>
                <w:sz w:val="18"/>
                <w:szCs w:val="18"/>
              </w:rPr>
              <w:t>33,3%</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3048AC1" w14:textId="77777777" w:rsidR="00F30BEB" w:rsidRPr="004E5878" w:rsidRDefault="004E5878" w:rsidP="004E5878">
            <w:pPr>
              <w:spacing w:line="360" w:lineRule="auto"/>
            </w:pPr>
            <w:r w:rsidRPr="004E5878">
              <w:rPr>
                <w:sz w:val="18"/>
                <w:szCs w:val="18"/>
              </w:rPr>
              <w:t>17</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04BF597" w14:textId="77777777" w:rsidR="00F30BEB" w:rsidRPr="004E5878" w:rsidRDefault="004E5878" w:rsidP="004E5878">
            <w:pPr>
              <w:spacing w:line="360" w:lineRule="auto"/>
            </w:pPr>
            <w:r w:rsidRPr="004E5878">
              <w:rPr>
                <w:sz w:val="18"/>
                <w:szCs w:val="18"/>
              </w:rPr>
              <w:t>36,2%</w:t>
            </w:r>
          </w:p>
        </w:tc>
        <w:tc>
          <w:tcPr>
            <w:tcW w:w="2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D1975C7" w14:textId="77777777" w:rsidR="00F30BEB" w:rsidRPr="004E5878" w:rsidRDefault="004E5878" w:rsidP="004E5878">
            <w:pPr>
              <w:spacing w:line="360" w:lineRule="auto"/>
            </w:pPr>
            <w:r w:rsidRPr="004E5878">
              <w:rPr>
                <w:sz w:val="18"/>
                <w:szCs w:val="18"/>
              </w:rPr>
              <w:t>▲ +54,5%</w:t>
            </w:r>
          </w:p>
        </w:tc>
      </w:tr>
      <w:tr w:rsidR="004E5878" w:rsidRPr="004E5878" w14:paraId="65A6D56A" w14:textId="77777777">
        <w:tc>
          <w:tcPr>
            <w:tcW w:w="3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5B3C6845" w14:textId="77777777" w:rsidR="00F30BEB" w:rsidRPr="004E5878" w:rsidRDefault="004E5878" w:rsidP="004E5878">
            <w:pPr>
              <w:spacing w:line="360" w:lineRule="auto"/>
            </w:pPr>
            <w:r w:rsidRPr="004E5878">
              <w:rPr>
                <w:sz w:val="18"/>
                <w:szCs w:val="18"/>
              </w:rPr>
              <w:t>Causas laborales</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778F60F" w14:textId="77777777" w:rsidR="00F30BEB" w:rsidRPr="004E5878" w:rsidRDefault="004E5878" w:rsidP="004E5878">
            <w:pPr>
              <w:spacing w:line="360" w:lineRule="auto"/>
            </w:pPr>
            <w:r w:rsidRPr="004E5878">
              <w:rPr>
                <w:sz w:val="18"/>
                <w:szCs w:val="18"/>
              </w:rPr>
              <w:t>9</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68472DE" w14:textId="77777777" w:rsidR="00F30BEB" w:rsidRPr="004E5878" w:rsidRDefault="004E5878" w:rsidP="004E5878">
            <w:pPr>
              <w:spacing w:line="360" w:lineRule="auto"/>
            </w:pPr>
            <w:r w:rsidRPr="004E5878">
              <w:rPr>
                <w:sz w:val="18"/>
                <w:szCs w:val="18"/>
              </w:rPr>
              <w:t>27,3%</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2378B30" w14:textId="77777777" w:rsidR="00F30BEB" w:rsidRPr="004E5878" w:rsidRDefault="004E5878" w:rsidP="004E5878">
            <w:pPr>
              <w:spacing w:line="360" w:lineRule="auto"/>
            </w:pPr>
            <w:r w:rsidRPr="004E5878">
              <w:rPr>
                <w:sz w:val="18"/>
                <w:szCs w:val="18"/>
              </w:rPr>
              <w:t>13</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7E3706C" w14:textId="77777777" w:rsidR="00F30BEB" w:rsidRPr="004E5878" w:rsidRDefault="004E5878" w:rsidP="004E5878">
            <w:pPr>
              <w:spacing w:line="360" w:lineRule="auto"/>
            </w:pPr>
            <w:r w:rsidRPr="004E5878">
              <w:rPr>
                <w:sz w:val="18"/>
                <w:szCs w:val="18"/>
              </w:rPr>
              <w:t>27,7%</w:t>
            </w:r>
          </w:p>
        </w:tc>
        <w:tc>
          <w:tcPr>
            <w:tcW w:w="2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B5CE414" w14:textId="77777777" w:rsidR="00F30BEB" w:rsidRPr="004E5878" w:rsidRDefault="004E5878" w:rsidP="004E5878">
            <w:pPr>
              <w:spacing w:line="360" w:lineRule="auto"/>
            </w:pPr>
            <w:r w:rsidRPr="004E5878">
              <w:rPr>
                <w:sz w:val="18"/>
                <w:szCs w:val="18"/>
              </w:rPr>
              <w:t>▲ +44,4%</w:t>
            </w:r>
          </w:p>
        </w:tc>
      </w:tr>
      <w:tr w:rsidR="004E5878" w:rsidRPr="004E5878" w14:paraId="3A8DDE68" w14:textId="77777777">
        <w:tc>
          <w:tcPr>
            <w:tcW w:w="3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4C5630FA" w14:textId="77777777" w:rsidR="00F30BEB" w:rsidRPr="004E5878" w:rsidRDefault="004E5878" w:rsidP="004E5878">
            <w:pPr>
              <w:spacing w:line="360" w:lineRule="auto"/>
            </w:pPr>
            <w:r w:rsidRPr="004E5878">
              <w:rPr>
                <w:sz w:val="18"/>
                <w:szCs w:val="18"/>
              </w:rPr>
              <w:t>Causas académicas</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1A1CF1F" w14:textId="77777777" w:rsidR="00F30BEB" w:rsidRPr="004E5878" w:rsidRDefault="004E5878" w:rsidP="004E5878">
            <w:pPr>
              <w:spacing w:line="360" w:lineRule="auto"/>
            </w:pPr>
            <w:r w:rsidRPr="004E5878">
              <w:rPr>
                <w:sz w:val="18"/>
                <w:szCs w:val="18"/>
              </w:rPr>
              <w:t>8</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793AC1B" w14:textId="77777777" w:rsidR="00F30BEB" w:rsidRPr="004E5878" w:rsidRDefault="004E5878" w:rsidP="004E5878">
            <w:pPr>
              <w:spacing w:line="360" w:lineRule="auto"/>
            </w:pPr>
            <w:r w:rsidRPr="004E5878">
              <w:rPr>
                <w:sz w:val="18"/>
                <w:szCs w:val="18"/>
              </w:rPr>
              <w:t>24,2%</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73E6B76" w14:textId="77777777" w:rsidR="00F30BEB" w:rsidRPr="004E5878" w:rsidRDefault="004E5878" w:rsidP="004E5878">
            <w:pPr>
              <w:spacing w:line="360" w:lineRule="auto"/>
            </w:pPr>
            <w:r w:rsidRPr="004E5878">
              <w:rPr>
                <w:sz w:val="18"/>
                <w:szCs w:val="18"/>
              </w:rPr>
              <w:t>10</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0AD7E0A" w14:textId="77777777" w:rsidR="00F30BEB" w:rsidRPr="004E5878" w:rsidRDefault="004E5878" w:rsidP="004E5878">
            <w:pPr>
              <w:spacing w:line="360" w:lineRule="auto"/>
            </w:pPr>
            <w:r w:rsidRPr="004E5878">
              <w:rPr>
                <w:sz w:val="18"/>
                <w:szCs w:val="18"/>
              </w:rPr>
              <w:t>21,3%</w:t>
            </w:r>
          </w:p>
        </w:tc>
        <w:tc>
          <w:tcPr>
            <w:tcW w:w="2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AC8F5E2" w14:textId="77777777" w:rsidR="00F30BEB" w:rsidRPr="004E5878" w:rsidRDefault="004E5878" w:rsidP="004E5878">
            <w:pPr>
              <w:spacing w:line="360" w:lineRule="auto"/>
            </w:pPr>
            <w:r w:rsidRPr="004E5878">
              <w:rPr>
                <w:sz w:val="18"/>
                <w:szCs w:val="18"/>
              </w:rPr>
              <w:t>▲ +25,0%</w:t>
            </w:r>
          </w:p>
        </w:tc>
      </w:tr>
      <w:tr w:rsidR="004E5878" w:rsidRPr="004E5878" w14:paraId="5687E10D" w14:textId="77777777">
        <w:tc>
          <w:tcPr>
            <w:tcW w:w="3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6F9A06A2" w14:textId="77777777" w:rsidR="00F30BEB" w:rsidRPr="004E5878" w:rsidRDefault="004E5878" w:rsidP="004E5878">
            <w:pPr>
              <w:spacing w:line="360" w:lineRule="auto"/>
            </w:pPr>
            <w:r w:rsidRPr="004E5878">
              <w:rPr>
                <w:sz w:val="18"/>
                <w:szCs w:val="18"/>
              </w:rPr>
              <w:t>Causas económicas / migración</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2FD604E" w14:textId="77777777" w:rsidR="00F30BEB" w:rsidRPr="004E5878" w:rsidRDefault="004E5878" w:rsidP="004E5878">
            <w:pPr>
              <w:spacing w:line="360" w:lineRule="auto"/>
            </w:pPr>
            <w:r w:rsidRPr="004E5878">
              <w:rPr>
                <w:sz w:val="18"/>
                <w:szCs w:val="18"/>
              </w:rPr>
              <w:t>4</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D642FBB" w14:textId="77777777" w:rsidR="00F30BEB" w:rsidRPr="004E5878" w:rsidRDefault="004E5878" w:rsidP="004E5878">
            <w:pPr>
              <w:spacing w:line="360" w:lineRule="auto"/>
            </w:pPr>
            <w:r w:rsidRPr="004E5878">
              <w:rPr>
                <w:sz w:val="18"/>
                <w:szCs w:val="18"/>
              </w:rPr>
              <w:t>12,1%</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787F6E6" w14:textId="77777777" w:rsidR="00F30BEB" w:rsidRPr="004E5878" w:rsidRDefault="004E5878" w:rsidP="004E5878">
            <w:pPr>
              <w:spacing w:line="360" w:lineRule="auto"/>
            </w:pPr>
            <w:r w:rsidRPr="004E5878">
              <w:rPr>
                <w:sz w:val="18"/>
                <w:szCs w:val="18"/>
              </w:rPr>
              <w:t>5</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5617977E" w14:textId="77777777" w:rsidR="00F30BEB" w:rsidRPr="004E5878" w:rsidRDefault="004E5878" w:rsidP="004E5878">
            <w:pPr>
              <w:spacing w:line="360" w:lineRule="auto"/>
            </w:pPr>
            <w:r w:rsidRPr="004E5878">
              <w:rPr>
                <w:sz w:val="18"/>
                <w:szCs w:val="18"/>
              </w:rPr>
              <w:t>10,6%</w:t>
            </w:r>
          </w:p>
        </w:tc>
        <w:tc>
          <w:tcPr>
            <w:tcW w:w="2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21B909E" w14:textId="77777777" w:rsidR="00F30BEB" w:rsidRPr="004E5878" w:rsidRDefault="004E5878" w:rsidP="004E5878">
            <w:pPr>
              <w:spacing w:line="360" w:lineRule="auto"/>
            </w:pPr>
            <w:r w:rsidRPr="004E5878">
              <w:rPr>
                <w:sz w:val="18"/>
                <w:szCs w:val="18"/>
              </w:rPr>
              <w:t>▲ +25,0%</w:t>
            </w:r>
          </w:p>
        </w:tc>
      </w:tr>
      <w:tr w:rsidR="004E5878" w:rsidRPr="004E5878" w14:paraId="2B062556" w14:textId="77777777">
        <w:tc>
          <w:tcPr>
            <w:tcW w:w="3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35D19FE4" w14:textId="77777777" w:rsidR="00F30BEB" w:rsidRPr="004E5878" w:rsidRDefault="004E5878" w:rsidP="004E5878">
            <w:pPr>
              <w:spacing w:line="360" w:lineRule="auto"/>
            </w:pPr>
            <w:r w:rsidRPr="004E5878">
              <w:rPr>
                <w:sz w:val="18"/>
                <w:szCs w:val="18"/>
              </w:rPr>
              <w:t>Otras causas</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5EFC472" w14:textId="77777777" w:rsidR="00F30BEB" w:rsidRPr="004E5878" w:rsidRDefault="004E5878" w:rsidP="004E5878">
            <w:pPr>
              <w:spacing w:line="360" w:lineRule="auto"/>
            </w:pPr>
            <w:r w:rsidRPr="004E5878">
              <w:rPr>
                <w:sz w:val="18"/>
                <w:szCs w:val="18"/>
              </w:rPr>
              <w:t>1</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A50225B" w14:textId="77777777" w:rsidR="00F30BEB" w:rsidRPr="004E5878" w:rsidRDefault="004E5878" w:rsidP="004E5878">
            <w:pPr>
              <w:spacing w:line="360" w:lineRule="auto"/>
            </w:pPr>
            <w:r w:rsidRPr="004E5878">
              <w:rPr>
                <w:sz w:val="18"/>
                <w:szCs w:val="18"/>
              </w:rPr>
              <w:t>3,0%</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F42C7D7" w14:textId="77777777" w:rsidR="00F30BEB" w:rsidRPr="004E5878" w:rsidRDefault="004E5878" w:rsidP="004E5878">
            <w:pPr>
              <w:spacing w:line="360" w:lineRule="auto"/>
            </w:pPr>
            <w:r w:rsidRPr="004E5878">
              <w:rPr>
                <w:sz w:val="18"/>
                <w:szCs w:val="18"/>
              </w:rPr>
              <w:t>2</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FF94139" w14:textId="77777777" w:rsidR="00F30BEB" w:rsidRPr="004E5878" w:rsidRDefault="004E5878" w:rsidP="004E5878">
            <w:pPr>
              <w:spacing w:line="360" w:lineRule="auto"/>
            </w:pPr>
            <w:r w:rsidRPr="004E5878">
              <w:rPr>
                <w:sz w:val="18"/>
                <w:szCs w:val="18"/>
              </w:rPr>
              <w:t>4,3%</w:t>
            </w:r>
          </w:p>
        </w:tc>
        <w:tc>
          <w:tcPr>
            <w:tcW w:w="2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847F16F" w14:textId="77777777" w:rsidR="00F30BEB" w:rsidRPr="004E5878" w:rsidRDefault="004E5878" w:rsidP="004E5878">
            <w:pPr>
              <w:spacing w:line="360" w:lineRule="auto"/>
            </w:pPr>
            <w:r w:rsidRPr="004E5878">
              <w:rPr>
                <w:sz w:val="18"/>
                <w:szCs w:val="18"/>
              </w:rPr>
              <w:t>▲ +100,0%</w:t>
            </w:r>
          </w:p>
        </w:tc>
      </w:tr>
      <w:tr w:rsidR="004E5878" w:rsidRPr="004E5878" w14:paraId="4C48DEF0" w14:textId="77777777">
        <w:tc>
          <w:tcPr>
            <w:tcW w:w="34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tcPr>
          <w:p w14:paraId="25D3314E" w14:textId="77777777" w:rsidR="00F30BEB" w:rsidRPr="004E5878" w:rsidRDefault="004E5878" w:rsidP="004E5878">
            <w:pPr>
              <w:spacing w:line="360" w:lineRule="auto"/>
            </w:pPr>
            <w:r w:rsidRPr="004E5878">
              <w:rPr>
                <w:b/>
                <w:bCs/>
                <w:sz w:val="18"/>
                <w:szCs w:val="18"/>
              </w:rPr>
              <w:t>Total</w:t>
            </w:r>
          </w:p>
        </w:tc>
        <w:tc>
          <w:tcPr>
            <w:tcW w:w="1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321747BE" w14:textId="77777777" w:rsidR="00F30BEB" w:rsidRPr="004E5878" w:rsidRDefault="004E5878" w:rsidP="004E5878">
            <w:pPr>
              <w:spacing w:line="360" w:lineRule="auto"/>
            </w:pPr>
            <w:r w:rsidRPr="004E5878">
              <w:rPr>
                <w:b/>
                <w:bCs/>
                <w:sz w:val="18"/>
                <w:szCs w:val="18"/>
              </w:rPr>
              <w:t>33</w:t>
            </w:r>
          </w:p>
        </w:tc>
        <w:tc>
          <w:tcPr>
            <w:tcW w:w="1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22805A9" w14:textId="77777777" w:rsidR="00F30BEB" w:rsidRPr="004E5878" w:rsidRDefault="004E5878" w:rsidP="004E5878">
            <w:pPr>
              <w:spacing w:line="360" w:lineRule="auto"/>
            </w:pPr>
            <w:r w:rsidRPr="004E5878">
              <w:rPr>
                <w:b/>
                <w:bCs/>
                <w:sz w:val="18"/>
                <w:szCs w:val="18"/>
              </w:rPr>
              <w:t>100,0%</w:t>
            </w:r>
          </w:p>
        </w:tc>
        <w:tc>
          <w:tcPr>
            <w:tcW w:w="1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146E02BB" w14:textId="77777777" w:rsidR="00F30BEB" w:rsidRPr="004E5878" w:rsidRDefault="004E5878" w:rsidP="004E5878">
            <w:pPr>
              <w:spacing w:line="360" w:lineRule="auto"/>
            </w:pPr>
            <w:r w:rsidRPr="004E5878">
              <w:rPr>
                <w:b/>
                <w:bCs/>
                <w:sz w:val="18"/>
                <w:szCs w:val="18"/>
              </w:rPr>
              <w:t>47</w:t>
            </w:r>
          </w:p>
        </w:tc>
        <w:tc>
          <w:tcPr>
            <w:tcW w:w="1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5B6B8DB5" w14:textId="77777777" w:rsidR="00F30BEB" w:rsidRPr="004E5878" w:rsidRDefault="004E5878" w:rsidP="004E5878">
            <w:pPr>
              <w:spacing w:line="360" w:lineRule="auto"/>
            </w:pPr>
            <w:r w:rsidRPr="004E5878">
              <w:rPr>
                <w:b/>
                <w:bCs/>
                <w:sz w:val="18"/>
                <w:szCs w:val="18"/>
              </w:rPr>
              <w:t>100,0%</w:t>
            </w:r>
          </w:p>
        </w:tc>
        <w:tc>
          <w:tcPr>
            <w:tcW w:w="2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828476C" w14:textId="77777777" w:rsidR="00F30BEB" w:rsidRPr="004E5878" w:rsidRDefault="004E5878" w:rsidP="004E5878">
            <w:pPr>
              <w:spacing w:line="360" w:lineRule="auto"/>
            </w:pPr>
            <w:r w:rsidRPr="004E5878">
              <w:rPr>
                <w:b/>
                <w:bCs/>
                <w:sz w:val="18"/>
                <w:szCs w:val="18"/>
              </w:rPr>
              <w:t>▲ +42,4%</w:t>
            </w:r>
          </w:p>
        </w:tc>
      </w:tr>
    </w:tbl>
    <w:p w14:paraId="229D7BD3" w14:textId="77777777" w:rsidR="00F30BEB" w:rsidRPr="004E5878" w:rsidRDefault="004E5878" w:rsidP="004E5878">
      <w:pPr>
        <w:spacing w:line="360" w:lineRule="auto"/>
      </w:pPr>
      <w:r w:rsidRPr="004E5878">
        <w:rPr>
          <w:i/>
          <w:iCs/>
          <w:sz w:val="17"/>
          <w:szCs w:val="17"/>
        </w:rPr>
        <w:t>Fuente: Registros académicos de la Universidad de Ciencias Médicas de Holguín. ▲: incremento respecto al curso anterior.</w:t>
      </w:r>
    </w:p>
    <w:p w14:paraId="0EA410F1" w14:textId="77777777" w:rsidR="00F30BEB" w:rsidRPr="004E5878" w:rsidRDefault="00F30BEB" w:rsidP="004E5878">
      <w:pPr>
        <w:spacing w:line="360" w:lineRule="auto"/>
      </w:pPr>
    </w:p>
    <w:p w14:paraId="472AA55F" w14:textId="77777777" w:rsidR="00F30BEB" w:rsidRPr="004E5878" w:rsidRDefault="004E5878" w:rsidP="004E5878">
      <w:pPr>
        <w:spacing w:line="360" w:lineRule="auto"/>
      </w:pPr>
      <w:r w:rsidRPr="004E5878">
        <w:rPr>
          <w:sz w:val="22"/>
        </w:rPr>
        <w:t>En cuanto a las causas (Tabla 3), las personales se mantuvieron como la categoría más frecuente en ambos cursos, incrementándose de 11 a 17 casos (36,2 % del total en 2024–2025). Las causas laborales —traslados de plaza, compromisos de colaboración internacional o incompatibilidad de horarios— ocuparon el segundo lugar (n=13; 27,7 %). Las causas académicas, como el incumplimiento de rotaciones o la reprobación de evaluaciones teóricas, representaron el 21,3 % (n=10). Las bajas por causas económicas o migración aumentaron de 4 a 5 casos.</w:t>
      </w:r>
      <w:r w:rsidRPr="004E5878">
        <w:rPr>
          <w:sz w:val="16"/>
          <w:szCs w:val="16"/>
          <w:vertAlign w:val="superscript"/>
        </w:rPr>
        <w:t xml:space="preserve"> (7)</w:t>
      </w:r>
    </w:p>
    <w:p w14:paraId="4A1713B7" w14:textId="77777777" w:rsidR="00F30BEB" w:rsidRPr="004E5878" w:rsidRDefault="00F30BEB" w:rsidP="004E5878">
      <w:pPr>
        <w:spacing w:line="360" w:lineRule="auto"/>
      </w:pPr>
    </w:p>
    <w:p w14:paraId="725C2407" w14:textId="77777777" w:rsidR="00F30BEB" w:rsidRPr="004E5878" w:rsidRDefault="004E5878" w:rsidP="004E5878">
      <w:pPr>
        <w:spacing w:line="360" w:lineRule="auto"/>
      </w:pPr>
      <w:r w:rsidRPr="004E5878">
        <w:rPr>
          <w:b/>
          <w:bCs/>
          <w:sz w:val="20"/>
          <w:szCs w:val="20"/>
        </w:rPr>
        <w:t xml:space="preserve">Tabla 4. Distribución de bajas según sexo. </w:t>
      </w:r>
      <w:proofErr w:type="gramStart"/>
      <w:r w:rsidRPr="004E5878">
        <w:rPr>
          <w:b/>
          <w:bCs/>
          <w:sz w:val="20"/>
          <w:szCs w:val="20"/>
        </w:rPr>
        <w:t>Comparativo cursos</w:t>
      </w:r>
      <w:proofErr w:type="gramEnd"/>
      <w:r w:rsidRPr="004E5878">
        <w:rPr>
          <w:b/>
          <w:bCs/>
          <w:sz w:val="20"/>
          <w:szCs w:val="20"/>
        </w:rPr>
        <w:t xml:space="preserve"> 2023–2024 y 2024–2025. Provincia de Holguín.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500"/>
        <w:gridCol w:w="1500"/>
        <w:gridCol w:w="1500"/>
        <w:gridCol w:w="1500"/>
        <w:gridCol w:w="600"/>
      </w:tblGrid>
      <w:tr w:rsidR="004E5878" w:rsidRPr="004E5878" w14:paraId="2DB0F67C" w14:textId="77777777">
        <w:tc>
          <w:tcPr>
            <w:tcW w:w="28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53DF047F" w14:textId="77777777" w:rsidR="00F30BEB" w:rsidRPr="004E5878" w:rsidRDefault="004E5878" w:rsidP="004E5878">
            <w:pPr>
              <w:spacing w:line="360" w:lineRule="auto"/>
            </w:pPr>
            <w:r w:rsidRPr="004E5878">
              <w:rPr>
                <w:b/>
                <w:bCs/>
                <w:sz w:val="17"/>
                <w:szCs w:val="17"/>
              </w:rPr>
              <w:t>Sexo</w:t>
            </w:r>
          </w:p>
        </w:tc>
        <w:tc>
          <w:tcPr>
            <w:tcW w:w="15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DBC61F7" w14:textId="77777777" w:rsidR="00F30BEB" w:rsidRPr="004E5878" w:rsidRDefault="004E5878" w:rsidP="004E5878">
            <w:pPr>
              <w:spacing w:line="360" w:lineRule="auto"/>
            </w:pPr>
            <w:r w:rsidRPr="004E5878">
              <w:rPr>
                <w:b/>
                <w:bCs/>
                <w:sz w:val="17"/>
                <w:szCs w:val="17"/>
              </w:rPr>
              <w:t>2023–24 n</w:t>
            </w:r>
          </w:p>
        </w:tc>
        <w:tc>
          <w:tcPr>
            <w:tcW w:w="15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2F0714CD" w14:textId="77777777" w:rsidR="00F30BEB" w:rsidRPr="004E5878" w:rsidRDefault="004E5878" w:rsidP="004E5878">
            <w:pPr>
              <w:spacing w:line="360" w:lineRule="auto"/>
            </w:pPr>
            <w:r w:rsidRPr="004E5878">
              <w:rPr>
                <w:b/>
                <w:bCs/>
                <w:sz w:val="17"/>
                <w:szCs w:val="17"/>
              </w:rPr>
              <w:t>2023–24 %</w:t>
            </w:r>
          </w:p>
        </w:tc>
        <w:tc>
          <w:tcPr>
            <w:tcW w:w="15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3DB5CEAB" w14:textId="77777777" w:rsidR="00F30BEB" w:rsidRPr="004E5878" w:rsidRDefault="004E5878" w:rsidP="004E5878">
            <w:pPr>
              <w:spacing w:line="360" w:lineRule="auto"/>
            </w:pPr>
            <w:r w:rsidRPr="004E5878">
              <w:rPr>
                <w:b/>
                <w:bCs/>
                <w:sz w:val="17"/>
                <w:szCs w:val="17"/>
              </w:rPr>
              <w:t>2024–25 n</w:t>
            </w:r>
          </w:p>
        </w:tc>
        <w:tc>
          <w:tcPr>
            <w:tcW w:w="15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02C659EE" w14:textId="77777777" w:rsidR="00F30BEB" w:rsidRPr="004E5878" w:rsidRDefault="004E5878" w:rsidP="004E5878">
            <w:pPr>
              <w:spacing w:line="360" w:lineRule="auto"/>
            </w:pPr>
            <w:r w:rsidRPr="004E5878">
              <w:rPr>
                <w:b/>
                <w:bCs/>
                <w:sz w:val="17"/>
                <w:szCs w:val="17"/>
              </w:rPr>
              <w:t>2024–25 %</w:t>
            </w:r>
          </w:p>
        </w:tc>
        <w:tc>
          <w:tcPr>
            <w:tcW w:w="6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0E74B0D8" w14:textId="77777777" w:rsidR="00F30BEB" w:rsidRPr="004E5878" w:rsidRDefault="004E5878" w:rsidP="004E5878">
            <w:pPr>
              <w:spacing w:line="360" w:lineRule="auto"/>
            </w:pPr>
            <w:r w:rsidRPr="004E5878">
              <w:rPr>
                <w:b/>
                <w:bCs/>
                <w:sz w:val="17"/>
                <w:szCs w:val="17"/>
              </w:rPr>
              <w:t>Δ n</w:t>
            </w:r>
          </w:p>
        </w:tc>
      </w:tr>
      <w:tr w:rsidR="004E5878" w:rsidRPr="004E5878" w14:paraId="3833F1D0" w14:textId="77777777">
        <w:tc>
          <w:tcPr>
            <w:tcW w:w="28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78ECBD5F" w14:textId="77777777" w:rsidR="00F30BEB" w:rsidRPr="004E5878" w:rsidRDefault="004E5878" w:rsidP="004E5878">
            <w:pPr>
              <w:spacing w:line="360" w:lineRule="auto"/>
            </w:pPr>
            <w:r w:rsidRPr="004E5878">
              <w:rPr>
                <w:sz w:val="18"/>
                <w:szCs w:val="18"/>
              </w:rPr>
              <w:t>Femenino</w:t>
            </w:r>
          </w:p>
        </w:tc>
        <w:tc>
          <w:tcPr>
            <w:tcW w:w="15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D29ECE9" w14:textId="77777777" w:rsidR="00F30BEB" w:rsidRPr="004E5878" w:rsidRDefault="004E5878" w:rsidP="004E5878">
            <w:pPr>
              <w:spacing w:line="360" w:lineRule="auto"/>
            </w:pPr>
            <w:r w:rsidRPr="004E5878">
              <w:rPr>
                <w:sz w:val="18"/>
                <w:szCs w:val="18"/>
              </w:rPr>
              <w:t>19</w:t>
            </w:r>
          </w:p>
        </w:tc>
        <w:tc>
          <w:tcPr>
            <w:tcW w:w="15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3C7262D0" w14:textId="77777777" w:rsidR="00F30BEB" w:rsidRPr="004E5878" w:rsidRDefault="004E5878" w:rsidP="004E5878">
            <w:pPr>
              <w:spacing w:line="360" w:lineRule="auto"/>
            </w:pPr>
            <w:r w:rsidRPr="004E5878">
              <w:rPr>
                <w:sz w:val="18"/>
                <w:szCs w:val="18"/>
              </w:rPr>
              <w:t>57,6%</w:t>
            </w:r>
          </w:p>
        </w:tc>
        <w:tc>
          <w:tcPr>
            <w:tcW w:w="15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B4599EF" w14:textId="77777777" w:rsidR="00F30BEB" w:rsidRPr="004E5878" w:rsidRDefault="004E5878" w:rsidP="004E5878">
            <w:pPr>
              <w:spacing w:line="360" w:lineRule="auto"/>
            </w:pPr>
            <w:r w:rsidRPr="004E5878">
              <w:rPr>
                <w:sz w:val="18"/>
                <w:szCs w:val="18"/>
              </w:rPr>
              <w:t>27</w:t>
            </w:r>
          </w:p>
        </w:tc>
        <w:tc>
          <w:tcPr>
            <w:tcW w:w="15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082F2D89" w14:textId="77777777" w:rsidR="00F30BEB" w:rsidRPr="004E5878" w:rsidRDefault="004E5878" w:rsidP="004E5878">
            <w:pPr>
              <w:spacing w:line="360" w:lineRule="auto"/>
            </w:pPr>
            <w:r w:rsidRPr="004E5878">
              <w:rPr>
                <w:sz w:val="18"/>
                <w:szCs w:val="18"/>
              </w:rPr>
              <w:t>57,4%</w:t>
            </w:r>
          </w:p>
        </w:tc>
        <w:tc>
          <w:tcPr>
            <w:tcW w:w="6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4F28DBB" w14:textId="77777777" w:rsidR="00F30BEB" w:rsidRPr="004E5878" w:rsidRDefault="004E5878" w:rsidP="004E5878">
            <w:pPr>
              <w:spacing w:line="360" w:lineRule="auto"/>
            </w:pPr>
            <w:r w:rsidRPr="004E5878">
              <w:rPr>
                <w:sz w:val="18"/>
                <w:szCs w:val="18"/>
              </w:rPr>
              <w:t>+8</w:t>
            </w:r>
          </w:p>
        </w:tc>
      </w:tr>
      <w:tr w:rsidR="004E5878" w:rsidRPr="004E5878" w14:paraId="2B040FA3" w14:textId="77777777">
        <w:tc>
          <w:tcPr>
            <w:tcW w:w="28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3BD078DA" w14:textId="77777777" w:rsidR="00F30BEB" w:rsidRPr="004E5878" w:rsidRDefault="004E5878" w:rsidP="004E5878">
            <w:pPr>
              <w:spacing w:line="360" w:lineRule="auto"/>
            </w:pPr>
            <w:r w:rsidRPr="004E5878">
              <w:rPr>
                <w:sz w:val="18"/>
                <w:szCs w:val="18"/>
              </w:rPr>
              <w:t>Masculino</w:t>
            </w:r>
          </w:p>
        </w:tc>
        <w:tc>
          <w:tcPr>
            <w:tcW w:w="15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47B91731" w14:textId="77777777" w:rsidR="00F30BEB" w:rsidRPr="004E5878" w:rsidRDefault="004E5878" w:rsidP="004E5878">
            <w:pPr>
              <w:spacing w:line="360" w:lineRule="auto"/>
            </w:pPr>
            <w:r w:rsidRPr="004E5878">
              <w:rPr>
                <w:sz w:val="18"/>
                <w:szCs w:val="18"/>
              </w:rPr>
              <w:t>14</w:t>
            </w:r>
          </w:p>
        </w:tc>
        <w:tc>
          <w:tcPr>
            <w:tcW w:w="15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2BB7E08" w14:textId="77777777" w:rsidR="00F30BEB" w:rsidRPr="004E5878" w:rsidRDefault="004E5878" w:rsidP="004E5878">
            <w:pPr>
              <w:spacing w:line="360" w:lineRule="auto"/>
            </w:pPr>
            <w:r w:rsidRPr="004E5878">
              <w:rPr>
                <w:sz w:val="18"/>
                <w:szCs w:val="18"/>
              </w:rPr>
              <w:t>42,4%</w:t>
            </w:r>
          </w:p>
        </w:tc>
        <w:tc>
          <w:tcPr>
            <w:tcW w:w="15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DDEBA79" w14:textId="77777777" w:rsidR="00F30BEB" w:rsidRPr="004E5878" w:rsidRDefault="004E5878" w:rsidP="004E5878">
            <w:pPr>
              <w:spacing w:line="360" w:lineRule="auto"/>
            </w:pPr>
            <w:r w:rsidRPr="004E5878">
              <w:rPr>
                <w:sz w:val="18"/>
                <w:szCs w:val="18"/>
              </w:rPr>
              <w:t>20</w:t>
            </w:r>
          </w:p>
        </w:tc>
        <w:tc>
          <w:tcPr>
            <w:tcW w:w="15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34A464F6" w14:textId="77777777" w:rsidR="00F30BEB" w:rsidRPr="004E5878" w:rsidRDefault="004E5878" w:rsidP="004E5878">
            <w:pPr>
              <w:spacing w:line="360" w:lineRule="auto"/>
            </w:pPr>
            <w:r w:rsidRPr="004E5878">
              <w:rPr>
                <w:sz w:val="18"/>
                <w:szCs w:val="18"/>
              </w:rPr>
              <w:t>42,6%</w:t>
            </w:r>
          </w:p>
        </w:tc>
        <w:tc>
          <w:tcPr>
            <w:tcW w:w="6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21C20344" w14:textId="77777777" w:rsidR="00F30BEB" w:rsidRPr="004E5878" w:rsidRDefault="004E5878" w:rsidP="004E5878">
            <w:pPr>
              <w:spacing w:line="360" w:lineRule="auto"/>
            </w:pPr>
            <w:r w:rsidRPr="004E5878">
              <w:rPr>
                <w:sz w:val="18"/>
                <w:szCs w:val="18"/>
              </w:rPr>
              <w:t>+6</w:t>
            </w:r>
          </w:p>
        </w:tc>
      </w:tr>
      <w:tr w:rsidR="004E5878" w:rsidRPr="004E5878" w14:paraId="0E111C49" w14:textId="77777777">
        <w:tc>
          <w:tcPr>
            <w:tcW w:w="28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tcPr>
          <w:p w14:paraId="55D8A213" w14:textId="77777777" w:rsidR="00F30BEB" w:rsidRPr="004E5878" w:rsidRDefault="004E5878" w:rsidP="004E5878">
            <w:pPr>
              <w:spacing w:line="360" w:lineRule="auto"/>
            </w:pPr>
            <w:r w:rsidRPr="004E5878">
              <w:rPr>
                <w:b/>
                <w:bCs/>
                <w:sz w:val="18"/>
                <w:szCs w:val="18"/>
              </w:rPr>
              <w:t>Total</w:t>
            </w:r>
          </w:p>
        </w:tc>
        <w:tc>
          <w:tcPr>
            <w:tcW w:w="15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72CEA624" w14:textId="77777777" w:rsidR="00F30BEB" w:rsidRPr="004E5878" w:rsidRDefault="004E5878" w:rsidP="004E5878">
            <w:pPr>
              <w:spacing w:line="360" w:lineRule="auto"/>
            </w:pPr>
            <w:r w:rsidRPr="004E5878">
              <w:rPr>
                <w:b/>
                <w:bCs/>
                <w:sz w:val="18"/>
                <w:szCs w:val="18"/>
              </w:rPr>
              <w:t>33</w:t>
            </w:r>
          </w:p>
        </w:tc>
        <w:tc>
          <w:tcPr>
            <w:tcW w:w="15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7CC89ADA" w14:textId="77777777" w:rsidR="00F30BEB" w:rsidRPr="004E5878" w:rsidRDefault="004E5878" w:rsidP="004E5878">
            <w:pPr>
              <w:spacing w:line="360" w:lineRule="auto"/>
            </w:pPr>
            <w:r w:rsidRPr="004E5878">
              <w:rPr>
                <w:b/>
                <w:bCs/>
                <w:sz w:val="18"/>
                <w:szCs w:val="18"/>
              </w:rPr>
              <w:t>100,0%</w:t>
            </w:r>
          </w:p>
        </w:tc>
        <w:tc>
          <w:tcPr>
            <w:tcW w:w="15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36E98D10" w14:textId="77777777" w:rsidR="00F30BEB" w:rsidRPr="004E5878" w:rsidRDefault="004E5878" w:rsidP="004E5878">
            <w:pPr>
              <w:spacing w:line="360" w:lineRule="auto"/>
            </w:pPr>
            <w:r w:rsidRPr="004E5878">
              <w:rPr>
                <w:b/>
                <w:bCs/>
                <w:sz w:val="18"/>
                <w:szCs w:val="18"/>
              </w:rPr>
              <w:t>47</w:t>
            </w:r>
          </w:p>
        </w:tc>
        <w:tc>
          <w:tcPr>
            <w:tcW w:w="15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38D57FFF" w14:textId="77777777" w:rsidR="00F30BEB" w:rsidRPr="004E5878" w:rsidRDefault="004E5878" w:rsidP="004E5878">
            <w:pPr>
              <w:spacing w:line="360" w:lineRule="auto"/>
            </w:pPr>
            <w:r w:rsidRPr="004E5878">
              <w:rPr>
                <w:b/>
                <w:bCs/>
                <w:sz w:val="18"/>
                <w:szCs w:val="18"/>
              </w:rPr>
              <w:t>100,0%</w:t>
            </w:r>
          </w:p>
        </w:tc>
        <w:tc>
          <w:tcPr>
            <w:tcW w:w="6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719C23AA" w14:textId="77777777" w:rsidR="00F30BEB" w:rsidRPr="004E5878" w:rsidRDefault="004E5878" w:rsidP="004E5878">
            <w:pPr>
              <w:spacing w:line="360" w:lineRule="auto"/>
            </w:pPr>
            <w:r w:rsidRPr="004E5878">
              <w:rPr>
                <w:b/>
                <w:bCs/>
                <w:sz w:val="18"/>
                <w:szCs w:val="18"/>
              </w:rPr>
              <w:t>+14</w:t>
            </w:r>
          </w:p>
        </w:tc>
      </w:tr>
    </w:tbl>
    <w:p w14:paraId="4176C2CF" w14:textId="77777777" w:rsidR="00F30BEB" w:rsidRPr="004E5878" w:rsidRDefault="004E5878" w:rsidP="004E5878">
      <w:pPr>
        <w:spacing w:line="360" w:lineRule="auto"/>
      </w:pPr>
      <w:r w:rsidRPr="004E5878">
        <w:rPr>
          <w:i/>
          <w:iCs/>
          <w:sz w:val="17"/>
          <w:szCs w:val="17"/>
        </w:rPr>
        <w:t>Fuente: Registros académicos de la Universidad de Ciencias Médicas de Holguín.</w:t>
      </w:r>
    </w:p>
    <w:p w14:paraId="041C5213" w14:textId="77777777" w:rsidR="00F30BEB" w:rsidRPr="004E5878" w:rsidRDefault="00F30BEB" w:rsidP="004E5878">
      <w:pPr>
        <w:spacing w:line="360" w:lineRule="auto"/>
      </w:pPr>
    </w:p>
    <w:p w14:paraId="4D855255" w14:textId="77777777" w:rsidR="00F30BEB" w:rsidRPr="004E5878" w:rsidRDefault="004E5878" w:rsidP="004E5878">
      <w:pPr>
        <w:spacing w:line="360" w:lineRule="auto"/>
      </w:pPr>
      <w:r w:rsidRPr="004E5878">
        <w:rPr>
          <w:sz w:val="22"/>
        </w:rPr>
        <w:t>Las residentes de sexo femenino concentraron la mayoría de las bajas en ambos cursos con proporciones similares: 57,6 % en 2023–2024 y 57,4 % en 2024–2025 (Tabla 4). En términos absolutos pasaron de 19 a 27 casos (+8), frente a los 14 a 20 del sexo masculino (+6). Este patrón es consistente con la feminización progresiva de la matrícula en las residencias de Medicina Familiar en Holguín, aunque también refleja factores de vulnerabilidad diferencial vinculados al género que deben abordarse institucionalmente.</w:t>
      </w:r>
      <w:r w:rsidRPr="004E5878">
        <w:rPr>
          <w:sz w:val="16"/>
          <w:szCs w:val="16"/>
          <w:vertAlign w:val="superscript"/>
        </w:rPr>
        <w:t xml:space="preserve"> (7)</w:t>
      </w:r>
    </w:p>
    <w:p w14:paraId="0EB45FE6" w14:textId="77777777" w:rsidR="00F30BEB" w:rsidRPr="004E5878" w:rsidRDefault="00F30BEB" w:rsidP="004E5878">
      <w:pPr>
        <w:spacing w:line="360" w:lineRule="auto"/>
      </w:pPr>
    </w:p>
    <w:p w14:paraId="38CFA5F0" w14:textId="77777777" w:rsidR="00F30BEB" w:rsidRPr="004E5878" w:rsidRDefault="004E5878" w:rsidP="004E5878">
      <w:pPr>
        <w:spacing w:line="360" w:lineRule="auto"/>
      </w:pPr>
      <w:r w:rsidRPr="004E5878">
        <w:rPr>
          <w:b/>
          <w:bCs/>
          <w:sz w:val="20"/>
          <w:szCs w:val="20"/>
        </w:rPr>
        <w:t xml:space="preserve">Tabla 5. Distribución de bajas según tipo. </w:t>
      </w:r>
      <w:proofErr w:type="gramStart"/>
      <w:r w:rsidRPr="004E5878">
        <w:rPr>
          <w:b/>
          <w:bCs/>
          <w:sz w:val="20"/>
          <w:szCs w:val="20"/>
        </w:rPr>
        <w:t>Comparativo cursos</w:t>
      </w:r>
      <w:proofErr w:type="gramEnd"/>
      <w:r w:rsidRPr="004E5878">
        <w:rPr>
          <w:b/>
          <w:bCs/>
          <w:sz w:val="20"/>
          <w:szCs w:val="20"/>
        </w:rPr>
        <w:t xml:space="preserve"> 2023–2024 y 2024–2025. Provincia de Holguín.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250"/>
        <w:gridCol w:w="1250"/>
        <w:gridCol w:w="1250"/>
        <w:gridCol w:w="1250"/>
        <w:gridCol w:w="1000"/>
      </w:tblGrid>
      <w:tr w:rsidR="004E5878" w:rsidRPr="004E5878" w14:paraId="3B10F85E" w14:textId="77777777">
        <w:tc>
          <w:tcPr>
            <w:tcW w:w="34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11DC88C" w14:textId="77777777" w:rsidR="00F30BEB" w:rsidRPr="004E5878" w:rsidRDefault="004E5878" w:rsidP="004E5878">
            <w:pPr>
              <w:spacing w:line="360" w:lineRule="auto"/>
            </w:pPr>
            <w:r w:rsidRPr="004E5878">
              <w:rPr>
                <w:b/>
                <w:bCs/>
                <w:sz w:val="17"/>
                <w:szCs w:val="17"/>
              </w:rPr>
              <w:t>Tipo de baja</w:t>
            </w:r>
          </w:p>
        </w:tc>
        <w:tc>
          <w:tcPr>
            <w:tcW w:w="12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3EA36CF7" w14:textId="77777777" w:rsidR="00F30BEB" w:rsidRPr="004E5878" w:rsidRDefault="004E5878" w:rsidP="004E5878">
            <w:pPr>
              <w:spacing w:line="360" w:lineRule="auto"/>
            </w:pPr>
            <w:r w:rsidRPr="004E5878">
              <w:rPr>
                <w:b/>
                <w:bCs/>
                <w:sz w:val="17"/>
                <w:szCs w:val="17"/>
              </w:rPr>
              <w:t>2023–24 n</w:t>
            </w:r>
          </w:p>
        </w:tc>
        <w:tc>
          <w:tcPr>
            <w:tcW w:w="12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1E980BDC" w14:textId="77777777" w:rsidR="00F30BEB" w:rsidRPr="004E5878" w:rsidRDefault="004E5878" w:rsidP="004E5878">
            <w:pPr>
              <w:spacing w:line="360" w:lineRule="auto"/>
            </w:pPr>
            <w:r w:rsidRPr="004E5878">
              <w:rPr>
                <w:b/>
                <w:bCs/>
                <w:sz w:val="17"/>
                <w:szCs w:val="17"/>
              </w:rPr>
              <w:t>2023–24 %</w:t>
            </w:r>
          </w:p>
        </w:tc>
        <w:tc>
          <w:tcPr>
            <w:tcW w:w="12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4A0BBF61" w14:textId="77777777" w:rsidR="00F30BEB" w:rsidRPr="004E5878" w:rsidRDefault="004E5878" w:rsidP="004E5878">
            <w:pPr>
              <w:spacing w:line="360" w:lineRule="auto"/>
            </w:pPr>
            <w:r w:rsidRPr="004E5878">
              <w:rPr>
                <w:b/>
                <w:bCs/>
                <w:sz w:val="17"/>
                <w:szCs w:val="17"/>
              </w:rPr>
              <w:t>2024–25 n</w:t>
            </w:r>
          </w:p>
        </w:tc>
        <w:tc>
          <w:tcPr>
            <w:tcW w:w="125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3FB9B884" w14:textId="77777777" w:rsidR="00F30BEB" w:rsidRPr="004E5878" w:rsidRDefault="004E5878" w:rsidP="004E5878">
            <w:pPr>
              <w:spacing w:line="360" w:lineRule="auto"/>
            </w:pPr>
            <w:r w:rsidRPr="004E5878">
              <w:rPr>
                <w:b/>
                <w:bCs/>
                <w:sz w:val="17"/>
                <w:szCs w:val="17"/>
              </w:rPr>
              <w:t>2024–25 %</w:t>
            </w:r>
          </w:p>
        </w:tc>
        <w:tc>
          <w:tcPr>
            <w:tcW w:w="1000" w:type="dxa"/>
            <w:tcBorders>
              <w:top w:val="single" w:sz="4" w:space="0" w:color="2E75B6"/>
              <w:left w:val="single" w:sz="4" w:space="0" w:color="2E75B6"/>
              <w:bottom w:val="single" w:sz="4" w:space="0" w:color="2E75B6"/>
              <w:right w:val="single" w:sz="4" w:space="0" w:color="2E75B6"/>
            </w:tcBorders>
            <w:shd w:val="clear" w:color="auto" w:fill="1F4E79"/>
            <w:tcMar>
              <w:top w:w="80" w:type="dxa"/>
              <w:left w:w="110" w:type="dxa"/>
              <w:bottom w:w="80" w:type="dxa"/>
              <w:right w:w="110" w:type="dxa"/>
            </w:tcMar>
            <w:vAlign w:val="center"/>
          </w:tcPr>
          <w:p w14:paraId="52E87658" w14:textId="77777777" w:rsidR="00F30BEB" w:rsidRPr="004E5878" w:rsidRDefault="004E5878" w:rsidP="004E5878">
            <w:pPr>
              <w:spacing w:line="360" w:lineRule="auto"/>
            </w:pPr>
            <w:r w:rsidRPr="004E5878">
              <w:rPr>
                <w:b/>
                <w:bCs/>
                <w:sz w:val="17"/>
                <w:szCs w:val="17"/>
              </w:rPr>
              <w:t>Δ n</w:t>
            </w:r>
          </w:p>
        </w:tc>
      </w:tr>
      <w:tr w:rsidR="004E5878" w:rsidRPr="004E5878" w14:paraId="44E45A64" w14:textId="77777777">
        <w:tc>
          <w:tcPr>
            <w:tcW w:w="34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tcPr>
          <w:p w14:paraId="1515054B" w14:textId="77777777" w:rsidR="00F30BEB" w:rsidRPr="004E5878" w:rsidRDefault="004E5878" w:rsidP="004E5878">
            <w:pPr>
              <w:spacing w:line="360" w:lineRule="auto"/>
            </w:pPr>
            <w:r w:rsidRPr="004E5878">
              <w:rPr>
                <w:sz w:val="18"/>
                <w:szCs w:val="18"/>
              </w:rPr>
              <w:t>Voluntaria</w:t>
            </w:r>
          </w:p>
        </w:tc>
        <w:tc>
          <w:tcPr>
            <w:tcW w:w="12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6278CB3C" w14:textId="77777777" w:rsidR="00F30BEB" w:rsidRPr="004E5878" w:rsidRDefault="004E5878" w:rsidP="004E5878">
            <w:pPr>
              <w:spacing w:line="360" w:lineRule="auto"/>
            </w:pPr>
            <w:r w:rsidRPr="004E5878">
              <w:rPr>
                <w:sz w:val="18"/>
                <w:szCs w:val="18"/>
              </w:rPr>
              <w:t>22</w:t>
            </w:r>
          </w:p>
        </w:tc>
        <w:tc>
          <w:tcPr>
            <w:tcW w:w="12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4F19B774" w14:textId="77777777" w:rsidR="00F30BEB" w:rsidRPr="004E5878" w:rsidRDefault="004E5878" w:rsidP="004E5878">
            <w:pPr>
              <w:spacing w:line="360" w:lineRule="auto"/>
            </w:pPr>
            <w:r w:rsidRPr="004E5878">
              <w:rPr>
                <w:sz w:val="18"/>
                <w:szCs w:val="18"/>
              </w:rPr>
              <w:t>66,7%</w:t>
            </w:r>
          </w:p>
        </w:tc>
        <w:tc>
          <w:tcPr>
            <w:tcW w:w="12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289FC43E" w14:textId="77777777" w:rsidR="00F30BEB" w:rsidRPr="004E5878" w:rsidRDefault="004E5878" w:rsidP="004E5878">
            <w:pPr>
              <w:spacing w:line="360" w:lineRule="auto"/>
            </w:pPr>
            <w:r w:rsidRPr="004E5878">
              <w:rPr>
                <w:sz w:val="18"/>
                <w:szCs w:val="18"/>
              </w:rPr>
              <w:t>32</w:t>
            </w:r>
          </w:p>
        </w:tc>
        <w:tc>
          <w:tcPr>
            <w:tcW w:w="125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143855F8" w14:textId="77777777" w:rsidR="00F30BEB" w:rsidRPr="004E5878" w:rsidRDefault="004E5878" w:rsidP="004E5878">
            <w:pPr>
              <w:spacing w:line="360" w:lineRule="auto"/>
            </w:pPr>
            <w:r w:rsidRPr="004E5878">
              <w:rPr>
                <w:sz w:val="18"/>
                <w:szCs w:val="18"/>
              </w:rPr>
              <w:t>68,1%</w:t>
            </w:r>
          </w:p>
        </w:tc>
        <w:tc>
          <w:tcPr>
            <w:tcW w:w="1000" w:type="dxa"/>
            <w:tcBorders>
              <w:top w:val="single" w:sz="2" w:space="0" w:color="BDD7EE"/>
              <w:left w:val="single" w:sz="2" w:space="0" w:color="BDD7EE"/>
              <w:bottom w:val="single" w:sz="2" w:space="0" w:color="BDD7EE"/>
              <w:right w:val="single" w:sz="2" w:space="0" w:color="BDD7EE"/>
            </w:tcBorders>
            <w:shd w:val="clear" w:color="auto" w:fill="EBF3FB"/>
            <w:tcMar>
              <w:top w:w="80" w:type="dxa"/>
              <w:left w:w="110" w:type="dxa"/>
              <w:bottom w:w="80" w:type="dxa"/>
              <w:right w:w="110" w:type="dxa"/>
            </w:tcMar>
            <w:vAlign w:val="center"/>
          </w:tcPr>
          <w:p w14:paraId="5046BD98" w14:textId="77777777" w:rsidR="00F30BEB" w:rsidRPr="004E5878" w:rsidRDefault="004E5878" w:rsidP="004E5878">
            <w:pPr>
              <w:spacing w:line="360" w:lineRule="auto"/>
            </w:pPr>
            <w:r w:rsidRPr="004E5878">
              <w:rPr>
                <w:sz w:val="18"/>
                <w:szCs w:val="18"/>
              </w:rPr>
              <w:t>+10</w:t>
            </w:r>
          </w:p>
        </w:tc>
      </w:tr>
      <w:tr w:rsidR="004E5878" w:rsidRPr="004E5878" w14:paraId="53F6C347" w14:textId="77777777">
        <w:tc>
          <w:tcPr>
            <w:tcW w:w="34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tcPr>
          <w:p w14:paraId="076C96EF" w14:textId="77777777" w:rsidR="00F30BEB" w:rsidRPr="004E5878" w:rsidRDefault="004E5878" w:rsidP="004E5878">
            <w:pPr>
              <w:spacing w:line="360" w:lineRule="auto"/>
            </w:pPr>
            <w:r w:rsidRPr="004E5878">
              <w:rPr>
                <w:sz w:val="18"/>
                <w:szCs w:val="18"/>
              </w:rPr>
              <w:t>Por incumplimiento normativo</w:t>
            </w:r>
          </w:p>
        </w:tc>
        <w:tc>
          <w:tcPr>
            <w:tcW w:w="12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6BE6F1D0" w14:textId="77777777" w:rsidR="00F30BEB" w:rsidRPr="004E5878" w:rsidRDefault="004E5878" w:rsidP="004E5878">
            <w:pPr>
              <w:spacing w:line="360" w:lineRule="auto"/>
            </w:pPr>
            <w:r w:rsidRPr="004E5878">
              <w:rPr>
                <w:sz w:val="18"/>
                <w:szCs w:val="18"/>
              </w:rPr>
              <w:t>11</w:t>
            </w:r>
          </w:p>
        </w:tc>
        <w:tc>
          <w:tcPr>
            <w:tcW w:w="12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5D7B219" w14:textId="77777777" w:rsidR="00F30BEB" w:rsidRPr="004E5878" w:rsidRDefault="004E5878" w:rsidP="004E5878">
            <w:pPr>
              <w:spacing w:line="360" w:lineRule="auto"/>
            </w:pPr>
            <w:r w:rsidRPr="004E5878">
              <w:rPr>
                <w:sz w:val="18"/>
                <w:szCs w:val="18"/>
              </w:rPr>
              <w:t>33,3%</w:t>
            </w:r>
          </w:p>
        </w:tc>
        <w:tc>
          <w:tcPr>
            <w:tcW w:w="12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0ED8348A" w14:textId="77777777" w:rsidR="00F30BEB" w:rsidRPr="004E5878" w:rsidRDefault="004E5878" w:rsidP="004E5878">
            <w:pPr>
              <w:spacing w:line="360" w:lineRule="auto"/>
            </w:pPr>
            <w:r w:rsidRPr="004E5878">
              <w:rPr>
                <w:sz w:val="18"/>
                <w:szCs w:val="18"/>
              </w:rPr>
              <w:t>15</w:t>
            </w:r>
          </w:p>
        </w:tc>
        <w:tc>
          <w:tcPr>
            <w:tcW w:w="125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1764423D" w14:textId="77777777" w:rsidR="00F30BEB" w:rsidRPr="004E5878" w:rsidRDefault="004E5878" w:rsidP="004E5878">
            <w:pPr>
              <w:spacing w:line="360" w:lineRule="auto"/>
            </w:pPr>
            <w:r w:rsidRPr="004E5878">
              <w:rPr>
                <w:sz w:val="18"/>
                <w:szCs w:val="18"/>
              </w:rPr>
              <w:t>31,9%</w:t>
            </w:r>
          </w:p>
        </w:tc>
        <w:tc>
          <w:tcPr>
            <w:tcW w:w="1000" w:type="dxa"/>
            <w:tcBorders>
              <w:top w:val="single" w:sz="2" w:space="0" w:color="BDD7EE"/>
              <w:left w:val="single" w:sz="2" w:space="0" w:color="BDD7EE"/>
              <w:bottom w:val="single" w:sz="2" w:space="0" w:color="BDD7EE"/>
              <w:right w:val="single" w:sz="2" w:space="0" w:color="BDD7EE"/>
            </w:tcBorders>
            <w:shd w:val="clear" w:color="auto" w:fill="FFFFFF"/>
            <w:tcMar>
              <w:top w:w="80" w:type="dxa"/>
              <w:left w:w="110" w:type="dxa"/>
              <w:bottom w:w="80" w:type="dxa"/>
              <w:right w:w="110" w:type="dxa"/>
            </w:tcMar>
            <w:vAlign w:val="center"/>
          </w:tcPr>
          <w:p w14:paraId="7C4DE929" w14:textId="77777777" w:rsidR="00F30BEB" w:rsidRPr="004E5878" w:rsidRDefault="004E5878" w:rsidP="004E5878">
            <w:pPr>
              <w:spacing w:line="360" w:lineRule="auto"/>
            </w:pPr>
            <w:r w:rsidRPr="004E5878">
              <w:rPr>
                <w:sz w:val="18"/>
                <w:szCs w:val="18"/>
              </w:rPr>
              <w:t>+4</w:t>
            </w:r>
          </w:p>
        </w:tc>
      </w:tr>
      <w:tr w:rsidR="004E5878" w:rsidRPr="004E5878" w14:paraId="447A0074" w14:textId="77777777">
        <w:tc>
          <w:tcPr>
            <w:tcW w:w="34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tcPr>
          <w:p w14:paraId="3CAE5E86" w14:textId="77777777" w:rsidR="00F30BEB" w:rsidRPr="004E5878" w:rsidRDefault="004E5878" w:rsidP="004E5878">
            <w:pPr>
              <w:spacing w:line="360" w:lineRule="auto"/>
            </w:pPr>
            <w:r w:rsidRPr="004E5878">
              <w:rPr>
                <w:b/>
                <w:bCs/>
                <w:sz w:val="18"/>
                <w:szCs w:val="18"/>
              </w:rPr>
              <w:t>Total</w:t>
            </w:r>
          </w:p>
        </w:tc>
        <w:tc>
          <w:tcPr>
            <w:tcW w:w="12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086D0B75" w14:textId="77777777" w:rsidR="00F30BEB" w:rsidRPr="004E5878" w:rsidRDefault="004E5878" w:rsidP="004E5878">
            <w:pPr>
              <w:spacing w:line="360" w:lineRule="auto"/>
            </w:pPr>
            <w:r w:rsidRPr="004E5878">
              <w:rPr>
                <w:b/>
                <w:bCs/>
                <w:sz w:val="18"/>
                <w:szCs w:val="18"/>
              </w:rPr>
              <w:t>33</w:t>
            </w:r>
          </w:p>
        </w:tc>
        <w:tc>
          <w:tcPr>
            <w:tcW w:w="12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5A5D33A3" w14:textId="77777777" w:rsidR="00F30BEB" w:rsidRPr="004E5878" w:rsidRDefault="004E5878" w:rsidP="004E5878">
            <w:pPr>
              <w:spacing w:line="360" w:lineRule="auto"/>
            </w:pPr>
            <w:r w:rsidRPr="004E5878">
              <w:rPr>
                <w:b/>
                <w:bCs/>
                <w:sz w:val="18"/>
                <w:szCs w:val="18"/>
              </w:rPr>
              <w:t>100,0%</w:t>
            </w:r>
          </w:p>
        </w:tc>
        <w:tc>
          <w:tcPr>
            <w:tcW w:w="12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492CD88" w14:textId="77777777" w:rsidR="00F30BEB" w:rsidRPr="004E5878" w:rsidRDefault="004E5878" w:rsidP="004E5878">
            <w:pPr>
              <w:spacing w:line="360" w:lineRule="auto"/>
            </w:pPr>
            <w:r w:rsidRPr="004E5878">
              <w:rPr>
                <w:b/>
                <w:bCs/>
                <w:sz w:val="18"/>
                <w:szCs w:val="18"/>
              </w:rPr>
              <w:t>47</w:t>
            </w:r>
          </w:p>
        </w:tc>
        <w:tc>
          <w:tcPr>
            <w:tcW w:w="125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4EE3A1AA" w14:textId="77777777" w:rsidR="00F30BEB" w:rsidRPr="004E5878" w:rsidRDefault="004E5878" w:rsidP="004E5878">
            <w:pPr>
              <w:spacing w:line="360" w:lineRule="auto"/>
            </w:pPr>
            <w:r w:rsidRPr="004E5878">
              <w:rPr>
                <w:b/>
                <w:bCs/>
                <w:sz w:val="18"/>
                <w:szCs w:val="18"/>
              </w:rPr>
              <w:t>100,0%</w:t>
            </w:r>
          </w:p>
        </w:tc>
        <w:tc>
          <w:tcPr>
            <w:tcW w:w="1000" w:type="dxa"/>
            <w:tcBorders>
              <w:top w:val="single" w:sz="2" w:space="0" w:color="BDD7EE"/>
              <w:left w:val="single" w:sz="2" w:space="0" w:color="BDD7EE"/>
              <w:bottom w:val="single" w:sz="2" w:space="0" w:color="BDD7EE"/>
              <w:right w:val="single" w:sz="2" w:space="0" w:color="BDD7EE"/>
            </w:tcBorders>
            <w:shd w:val="clear" w:color="auto" w:fill="BDD7EE"/>
            <w:tcMar>
              <w:top w:w="80" w:type="dxa"/>
              <w:left w:w="110" w:type="dxa"/>
              <w:bottom w:w="80" w:type="dxa"/>
              <w:right w:w="110" w:type="dxa"/>
            </w:tcMar>
            <w:vAlign w:val="center"/>
          </w:tcPr>
          <w:p w14:paraId="0DBDC6A3" w14:textId="77777777" w:rsidR="00F30BEB" w:rsidRPr="004E5878" w:rsidRDefault="004E5878" w:rsidP="004E5878">
            <w:pPr>
              <w:spacing w:line="360" w:lineRule="auto"/>
            </w:pPr>
            <w:r w:rsidRPr="004E5878">
              <w:rPr>
                <w:b/>
                <w:bCs/>
                <w:sz w:val="18"/>
                <w:szCs w:val="18"/>
              </w:rPr>
              <w:t>+14</w:t>
            </w:r>
          </w:p>
        </w:tc>
      </w:tr>
    </w:tbl>
    <w:p w14:paraId="1770468C" w14:textId="77777777" w:rsidR="00F30BEB" w:rsidRPr="004E5878" w:rsidRDefault="004E5878" w:rsidP="004E5878">
      <w:pPr>
        <w:spacing w:line="360" w:lineRule="auto"/>
      </w:pPr>
      <w:r w:rsidRPr="004E5878">
        <w:rPr>
          <w:i/>
          <w:iCs/>
          <w:sz w:val="17"/>
          <w:szCs w:val="17"/>
        </w:rPr>
        <w:t>Fuente: Registros académicos de la Universidad de Ciencias Médicas de Holguín.</w:t>
      </w:r>
    </w:p>
    <w:p w14:paraId="494F2B9F" w14:textId="77777777" w:rsidR="00F30BEB" w:rsidRPr="004E5878" w:rsidRDefault="00F30BEB" w:rsidP="004E5878">
      <w:pPr>
        <w:spacing w:line="360" w:lineRule="auto"/>
      </w:pPr>
    </w:p>
    <w:p w14:paraId="7D494687" w14:textId="77777777" w:rsidR="00F30BEB" w:rsidRPr="004E5878" w:rsidRDefault="004E5878" w:rsidP="004E5878">
      <w:pPr>
        <w:spacing w:line="360" w:lineRule="auto"/>
      </w:pPr>
      <w:r w:rsidRPr="004E5878">
        <w:rPr>
          <w:sz w:val="22"/>
        </w:rPr>
        <w:t>Según el tipo de baja (Tabla 5), las voluntarias predominaron en ambos períodos: 22 casos (66,7 %) en 2023–2024 y 32 casos (68,1 %) en 2024–2025. Las bajas por incumplimiento normativo pasaron de 11 a 15 casos entre cursos. La preeminencia de las bajas voluntarias indica que la decisión de abandono responde primordialmente a factores subjetivos sobre los que cabe actuar con estrategias de acompañamiento y mentoría.</w:t>
      </w:r>
      <w:r w:rsidRPr="004E5878">
        <w:rPr>
          <w:sz w:val="16"/>
          <w:szCs w:val="16"/>
          <w:vertAlign w:val="superscript"/>
        </w:rPr>
        <w:t xml:space="preserve"> (8)</w:t>
      </w:r>
    </w:p>
    <w:p w14:paraId="7F23AC17" w14:textId="77777777" w:rsidR="00F30BEB" w:rsidRPr="004E5878" w:rsidRDefault="004E5878" w:rsidP="004E5878">
      <w:pPr>
        <w:pStyle w:val="Ttulo11"/>
        <w:spacing w:before="0" w:after="0" w:line="360" w:lineRule="auto"/>
        <w:jc w:val="both"/>
        <w:rPr>
          <w:color w:val="auto"/>
        </w:rPr>
      </w:pPr>
      <w:r w:rsidRPr="004E5878">
        <w:rPr>
          <w:color w:val="auto"/>
        </w:rPr>
        <w:t>Discusión</w:t>
      </w:r>
    </w:p>
    <w:p w14:paraId="168DE2B9" w14:textId="77777777" w:rsidR="00F30BEB" w:rsidRPr="004E5878" w:rsidRDefault="004E5878" w:rsidP="004E5878">
      <w:pPr>
        <w:spacing w:line="360" w:lineRule="auto"/>
      </w:pPr>
      <w:r w:rsidRPr="004E5878">
        <w:rPr>
          <w:sz w:val="22"/>
        </w:rPr>
        <w:t>El incremento del 42,4 % en las bajas de residencias de Medicina Familiar en Holguín durante el curso 2024–2025 constituye un hallazgo de relevancia para la gestión del proceso formativo en la provincia. Esta tendencia es coherente con reportes de otras provincias cubanas y con la literatura latinoamericana sobre deserción en postgrados médicos, que señalan un aumento generalizado en el contexto pospandémico asociado al deterioro de las condiciones laborales, la mayor presión asistencial y la creciente movilidad de los profesionales de la salud.</w:t>
      </w:r>
      <w:r w:rsidRPr="004E5878">
        <w:rPr>
          <w:sz w:val="16"/>
          <w:szCs w:val="16"/>
          <w:vertAlign w:val="superscript"/>
        </w:rPr>
        <w:t xml:space="preserve"> (3,6)</w:t>
      </w:r>
    </w:p>
    <w:p w14:paraId="5C3F8A21" w14:textId="77777777" w:rsidR="00F30BEB" w:rsidRPr="004E5878" w:rsidRDefault="004E5878" w:rsidP="004E5878">
      <w:pPr>
        <w:spacing w:line="360" w:lineRule="auto"/>
      </w:pPr>
      <w:r w:rsidRPr="004E5878">
        <w:rPr>
          <w:sz w:val="22"/>
        </w:rPr>
        <w:lastRenderedPageBreak/>
        <w:t>La concentración de bajas en el municipio capital era esperable dada la mayor matrícula; no obstante, el incremento porcentual de más del 100 % en Gibara, Calixto García y Antilla merece una investigación cualitativa específica orientada a identificar factores institucionales o de contexto local. La ausencia de bajas en Urbano Noris en el curso 2024–2025 podría reflejar tanto un menor número de residentes matriculados como condiciones de mayor cohesión y apoyo al proceso formativo.</w:t>
      </w:r>
      <w:r w:rsidRPr="004E5878">
        <w:rPr>
          <w:sz w:val="16"/>
          <w:szCs w:val="16"/>
          <w:vertAlign w:val="superscript"/>
        </w:rPr>
        <w:t xml:space="preserve"> (4)</w:t>
      </w:r>
    </w:p>
    <w:p w14:paraId="0CA2F34D" w14:textId="77777777" w:rsidR="00F30BEB" w:rsidRPr="004E5878" w:rsidRDefault="004E5878" w:rsidP="004E5878">
      <w:pPr>
        <w:spacing w:line="360" w:lineRule="auto"/>
      </w:pPr>
      <w:r w:rsidRPr="004E5878">
        <w:rPr>
          <w:sz w:val="22"/>
        </w:rPr>
        <w:t>La preponderancia de las causas personales como motivo de abandono ha sido reportada consistentemente en la literatura científica internacional.</w:t>
      </w:r>
      <w:r w:rsidRPr="004E5878">
        <w:rPr>
          <w:sz w:val="16"/>
          <w:szCs w:val="16"/>
          <w:vertAlign w:val="superscript"/>
        </w:rPr>
        <w:t xml:space="preserve"> (6)</w:t>
      </w:r>
      <w:r w:rsidRPr="004E5878">
        <w:rPr>
          <w:sz w:val="22"/>
        </w:rPr>
        <w:t xml:space="preserve"> El incremento de las bajas en el tercer año de residencia es especialmente preocupante, pues supone la pérdida de residentes en etapas avanzadas de su formación con mayor inversión acumulada, tanto por la institución como por el propio cursante.</w:t>
      </w:r>
    </w:p>
    <w:p w14:paraId="625C863F" w14:textId="77777777" w:rsidR="00F30BEB" w:rsidRPr="004E5878" w:rsidRDefault="004E5878" w:rsidP="004E5878">
      <w:pPr>
        <w:spacing w:line="360" w:lineRule="auto"/>
      </w:pPr>
      <w:r w:rsidRPr="004E5878">
        <w:rPr>
          <w:sz w:val="22"/>
        </w:rPr>
        <w:t>La distribución por sexo, con predominio femenino consistente en ambos cursos, no solo refleja la feminización de la matrícula, sino también la persistencia de desigualdades de género que afectan la retención de las residentes.</w:t>
      </w:r>
      <w:r w:rsidRPr="004E5878">
        <w:rPr>
          <w:sz w:val="16"/>
          <w:szCs w:val="16"/>
          <w:vertAlign w:val="superscript"/>
        </w:rPr>
        <w:t xml:space="preserve"> (7)</w:t>
      </w:r>
      <w:r w:rsidRPr="004E5878">
        <w:rPr>
          <w:sz w:val="22"/>
        </w:rPr>
        <w:t xml:space="preserve"> Las investigaciones en este ámbito señalan que las médicas residentes enfrentan con mayor frecuencia situaciones de doble jornada, discriminación sutil y mayor presión para priorizar el rol familiar sobre el profesional, factores que no se resuelven sin políticas institucionales específicas.</w:t>
      </w:r>
    </w:p>
    <w:p w14:paraId="1296FE59" w14:textId="77777777" w:rsidR="00F30BEB" w:rsidRPr="004E5878" w:rsidRDefault="004E5878" w:rsidP="004E5878">
      <w:pPr>
        <w:spacing w:line="360" w:lineRule="auto"/>
      </w:pPr>
      <w:r w:rsidRPr="004E5878">
        <w:rPr>
          <w:sz w:val="22"/>
        </w:rPr>
        <w:t>La preeminencia de las bajas voluntarias —alrededor de dos tercios del total en ambos períodos— indica que el abandono no es consecuencia de incumplimiento normativo, sino de una decisión activa del residente ante circunstancias insuperables dentro del marco institucional vigente. Esto señala la necesidad urgente de desarrollar mecanismos de detección precoz del riesgo de abandono y de intervención oportuna.</w:t>
      </w:r>
      <w:r w:rsidRPr="004E5878">
        <w:rPr>
          <w:sz w:val="16"/>
          <w:szCs w:val="16"/>
          <w:vertAlign w:val="superscript"/>
        </w:rPr>
        <w:t xml:space="preserve"> (8)</w:t>
      </w:r>
    </w:p>
    <w:p w14:paraId="45A85F8B" w14:textId="77777777" w:rsidR="00F30BEB" w:rsidRPr="004E5878" w:rsidRDefault="004E5878" w:rsidP="004E5878">
      <w:pPr>
        <w:pStyle w:val="Ttulo11"/>
        <w:spacing w:before="0" w:after="0" w:line="360" w:lineRule="auto"/>
        <w:jc w:val="both"/>
        <w:rPr>
          <w:color w:val="auto"/>
        </w:rPr>
      </w:pPr>
      <w:r w:rsidRPr="004E5878">
        <w:rPr>
          <w:color w:val="auto"/>
        </w:rPr>
        <w:t>Conclusiones</w:t>
      </w:r>
    </w:p>
    <w:p w14:paraId="67662EB6" w14:textId="77777777" w:rsidR="00F30BEB" w:rsidRPr="004E5878" w:rsidRDefault="004E5878" w:rsidP="004E5878">
      <w:pPr>
        <w:spacing w:line="360" w:lineRule="auto"/>
      </w:pPr>
      <w:r w:rsidRPr="004E5878">
        <w:rPr>
          <w:sz w:val="22"/>
        </w:rPr>
        <w:t>Las bajas en las residencias de Medicina Familiar de la provincia de Holguín durante el curso escolar 2024–2025 presentaron un incremento del 42,4 % respecto al curso precedente, con una tasa de abandono del 18,8 % sobre la matrícula total. La distribución municipal fue heterogénea, con mayor afectación en los municipios de Holguín, Mayarí, Moa y Banes, e incrementos porcentuales notables en Gibara, Calixto García y Antilla.</w:t>
      </w:r>
    </w:p>
    <w:p w14:paraId="561AE670" w14:textId="77777777" w:rsidR="00F30BEB" w:rsidRPr="004E5878" w:rsidRDefault="004E5878" w:rsidP="004E5878">
      <w:pPr>
        <w:spacing w:line="360" w:lineRule="auto"/>
      </w:pPr>
      <w:r w:rsidRPr="004E5878">
        <w:rPr>
          <w:sz w:val="22"/>
        </w:rPr>
        <w:t>El primer año de residencia concentró la mayor proporción de bajas, aunque el tercer año mostró el mayor incremento porcentual entre cursos, lo que configura un perfil de riesgo diferenciado. Las causas personales y laborales fueron las más frecuentes; las bajas voluntarias representaron aproximadamente dos tercios del total; y el sexo femenino concentró la mayoría de los casos.</w:t>
      </w:r>
    </w:p>
    <w:p w14:paraId="702A6B2E" w14:textId="6C82DA8A" w:rsidR="00F30BEB" w:rsidRDefault="004E5878" w:rsidP="004E5878">
      <w:pPr>
        <w:spacing w:line="360" w:lineRule="auto"/>
      </w:pPr>
      <w:r w:rsidRPr="004E5878">
        <w:rPr>
          <w:sz w:val="22"/>
        </w:rPr>
        <w:t>Estos hallazgos evidencian la necesidad de implementar sistemas de tutoría individualizada, estrategias de conciliación con enfoque de género, mayor coordinación entre las instancias académicas y los organismos empleadores, y mecanismos institucionales de detección y atención temprana del riesgo de abandono, con el objetivo de garantizar la sostenibilidad de la formación de especialistas en Medicina Familiar en la provincia de Holguín.</w:t>
      </w:r>
    </w:p>
    <w:p w14:paraId="6746D2AD" w14:textId="77777777" w:rsidR="004E5878" w:rsidRDefault="004E5878" w:rsidP="004E5878">
      <w:pPr>
        <w:spacing w:line="360" w:lineRule="auto"/>
      </w:pPr>
    </w:p>
    <w:p w14:paraId="4CC0C27F" w14:textId="77777777" w:rsidR="004E5878" w:rsidRPr="004E5878" w:rsidRDefault="004E5878" w:rsidP="004E5878">
      <w:pPr>
        <w:spacing w:line="360" w:lineRule="auto"/>
      </w:pPr>
    </w:p>
    <w:p w14:paraId="265EBDFF" w14:textId="77777777" w:rsidR="00F30BEB" w:rsidRPr="004E5878" w:rsidRDefault="004E5878" w:rsidP="004E5878">
      <w:pPr>
        <w:pStyle w:val="Ttulo11"/>
        <w:spacing w:before="0" w:after="0" w:line="360" w:lineRule="auto"/>
        <w:jc w:val="both"/>
        <w:rPr>
          <w:color w:val="auto"/>
        </w:rPr>
      </w:pPr>
      <w:r w:rsidRPr="004E5878">
        <w:rPr>
          <w:color w:val="auto"/>
        </w:rPr>
        <w:t>Referencias Bibliográficas</w:t>
      </w:r>
    </w:p>
    <w:p w14:paraId="1BABA3E6" w14:textId="77777777" w:rsidR="00F30BEB" w:rsidRPr="004E5878" w:rsidRDefault="004E5878" w:rsidP="004E5878">
      <w:pPr>
        <w:spacing w:line="360" w:lineRule="auto"/>
      </w:pPr>
      <w:r w:rsidRPr="004E5878">
        <w:rPr>
          <w:sz w:val="22"/>
        </w:rPr>
        <w:t>1. Organización Panamericana de la Salud. Renovación de la Atención Primaria de Salud en las Américas: Nuevos Tiempos para la Salud Colectiva. Washington D.C.: OPS/OMS; 2021.</w:t>
      </w:r>
    </w:p>
    <w:p w14:paraId="22BB743D" w14:textId="77777777" w:rsidR="00F30BEB" w:rsidRPr="004E5878" w:rsidRDefault="004E5878" w:rsidP="004E5878">
      <w:pPr>
        <w:spacing w:line="360" w:lineRule="auto"/>
      </w:pPr>
      <w:r w:rsidRPr="004E5878">
        <w:rPr>
          <w:sz w:val="22"/>
        </w:rPr>
        <w:t>2. Ministerio de Salud Pública de Cuba. Programa de la especialidad de Medicina General Integral. La Habana: MINSAP; 2020.</w:t>
      </w:r>
    </w:p>
    <w:p w14:paraId="0C671F28" w14:textId="77777777" w:rsidR="00F30BEB" w:rsidRPr="004E5878" w:rsidRDefault="004E5878" w:rsidP="004E5878">
      <w:pPr>
        <w:spacing w:line="360" w:lineRule="auto"/>
      </w:pPr>
      <w:r w:rsidRPr="004E5878">
        <w:rPr>
          <w:sz w:val="22"/>
        </w:rPr>
        <w:t>3. Guevara Ramos JA, Quintero Sánchez A. Factores asociados a la deserción en programas de residencia médica en América Latina: revisión sistemática. Rev Med Chile. 2022;150(4):523-31.</w:t>
      </w:r>
    </w:p>
    <w:p w14:paraId="6B22F095" w14:textId="77777777" w:rsidR="00F30BEB" w:rsidRPr="004E5878" w:rsidRDefault="004E5878" w:rsidP="004E5878">
      <w:pPr>
        <w:spacing w:line="360" w:lineRule="auto"/>
      </w:pPr>
      <w:r w:rsidRPr="004E5878">
        <w:rPr>
          <w:sz w:val="22"/>
        </w:rPr>
        <w:t>4. Infanzón Lorenzo NE. Abordaje imagenológico de lesiones pulmonares en el contexto de la COVID-19. Correo Científico Médico [Internet]. 2021 [citado 2025 feb 10];25(2). Disponible en: https://revcocmed.sld.cu/index.php/cocmed/article/view/3710</w:t>
      </w:r>
    </w:p>
    <w:p w14:paraId="36748708" w14:textId="77777777" w:rsidR="00F30BEB" w:rsidRPr="004E5878" w:rsidRDefault="004E5878" w:rsidP="004E5878">
      <w:pPr>
        <w:spacing w:line="360" w:lineRule="auto"/>
        <w:rPr>
          <w:lang w:val="en-US"/>
        </w:rPr>
      </w:pPr>
      <w:r w:rsidRPr="004E5878">
        <w:rPr>
          <w:sz w:val="22"/>
        </w:rPr>
        <w:t xml:space="preserve">5. Hernández Sampieri R, Fernández Collado C, Baptista Lucio P. Metodología de la investigación. </w:t>
      </w:r>
      <w:r w:rsidRPr="004E5878">
        <w:rPr>
          <w:sz w:val="22"/>
          <w:lang w:val="en-US"/>
        </w:rPr>
        <w:t>6.a ed. México D.F.: McGraw-Hill; 2014.</w:t>
      </w:r>
    </w:p>
    <w:p w14:paraId="2F6CFDF9" w14:textId="77777777" w:rsidR="00F30BEB" w:rsidRPr="004E5878" w:rsidRDefault="004E5878" w:rsidP="004E5878">
      <w:pPr>
        <w:spacing w:line="360" w:lineRule="auto"/>
        <w:rPr>
          <w:lang w:val="en-US"/>
        </w:rPr>
      </w:pPr>
      <w:r w:rsidRPr="004E5878">
        <w:rPr>
          <w:sz w:val="22"/>
          <w:lang w:val="en-US"/>
        </w:rPr>
        <w:t xml:space="preserve">6. Dyrbye LN, Burke SE, Hardeman RR, Herrin J, Wittlin NM, Yeazel M, et al. Association of Clinical Specialty </w:t>
      </w:r>
      <w:proofErr w:type="gramStart"/>
      <w:r w:rsidRPr="004E5878">
        <w:rPr>
          <w:sz w:val="22"/>
          <w:lang w:val="en-US"/>
        </w:rPr>
        <w:t>With</w:t>
      </w:r>
      <w:proofErr w:type="gramEnd"/>
      <w:r w:rsidRPr="004E5878">
        <w:rPr>
          <w:sz w:val="22"/>
          <w:lang w:val="en-US"/>
        </w:rPr>
        <w:t xml:space="preserve"> Symptoms of Burnout and Career Choice Regret Among US Resident Physicians. JAMA. 2018;320(11):1114-30.</w:t>
      </w:r>
    </w:p>
    <w:p w14:paraId="0357F88D" w14:textId="77777777" w:rsidR="00F30BEB" w:rsidRPr="004E5878" w:rsidRDefault="004E5878" w:rsidP="004E5878">
      <w:pPr>
        <w:spacing w:line="360" w:lineRule="auto"/>
      </w:pPr>
      <w:r w:rsidRPr="004E5878">
        <w:rPr>
          <w:sz w:val="22"/>
          <w:lang w:val="en-US"/>
        </w:rPr>
        <w:t xml:space="preserve">7. </w:t>
      </w:r>
      <w:proofErr w:type="spellStart"/>
      <w:r w:rsidRPr="004E5878">
        <w:rPr>
          <w:sz w:val="22"/>
          <w:lang w:val="en-US"/>
        </w:rPr>
        <w:t>Buddeberg</w:t>
      </w:r>
      <w:proofErr w:type="spellEnd"/>
      <w:r w:rsidRPr="004E5878">
        <w:rPr>
          <w:sz w:val="22"/>
          <w:lang w:val="en-US"/>
        </w:rPr>
        <w:t xml:space="preserve">-Fischer B, Stamm M, </w:t>
      </w:r>
      <w:proofErr w:type="spellStart"/>
      <w:r w:rsidRPr="004E5878">
        <w:rPr>
          <w:sz w:val="22"/>
          <w:lang w:val="en-US"/>
        </w:rPr>
        <w:t>Buddeberg</w:t>
      </w:r>
      <w:proofErr w:type="spellEnd"/>
      <w:r w:rsidRPr="004E5878">
        <w:rPr>
          <w:sz w:val="22"/>
          <w:lang w:val="en-US"/>
        </w:rPr>
        <w:t xml:space="preserve"> C, </w:t>
      </w:r>
      <w:proofErr w:type="spellStart"/>
      <w:r w:rsidRPr="004E5878">
        <w:rPr>
          <w:sz w:val="22"/>
          <w:lang w:val="en-US"/>
        </w:rPr>
        <w:t>Klaghofer</w:t>
      </w:r>
      <w:proofErr w:type="spellEnd"/>
      <w:r w:rsidRPr="004E5878">
        <w:rPr>
          <w:sz w:val="22"/>
          <w:lang w:val="en-US"/>
        </w:rPr>
        <w:t xml:space="preserve"> R. The impact of gender and parenthood on physicians' careers — professional and personal situation seven years after graduation. </w:t>
      </w:r>
      <w:r w:rsidRPr="004E5878">
        <w:rPr>
          <w:sz w:val="22"/>
        </w:rPr>
        <w:t xml:space="preserve">BMC Health Serv Res. </w:t>
      </w:r>
      <w:proofErr w:type="gramStart"/>
      <w:r w:rsidRPr="004E5878">
        <w:rPr>
          <w:sz w:val="22"/>
        </w:rPr>
        <w:t>2010;10:40</w:t>
      </w:r>
      <w:proofErr w:type="gramEnd"/>
      <w:r w:rsidRPr="004E5878">
        <w:rPr>
          <w:sz w:val="22"/>
        </w:rPr>
        <w:t>.</w:t>
      </w:r>
    </w:p>
    <w:p w14:paraId="60E6EA73" w14:textId="77777777" w:rsidR="00F30BEB" w:rsidRPr="004E5878" w:rsidRDefault="004E5878" w:rsidP="004E5878">
      <w:pPr>
        <w:spacing w:line="360" w:lineRule="auto"/>
      </w:pPr>
      <w:r w:rsidRPr="004E5878">
        <w:rPr>
          <w:sz w:val="22"/>
        </w:rPr>
        <w:t xml:space="preserve">8. Colectivo de autores. Estrategias para mejorar la retención en programas de postgrado en ciencias de la salud. </w:t>
      </w:r>
      <w:proofErr w:type="spellStart"/>
      <w:r w:rsidRPr="004E5878">
        <w:rPr>
          <w:sz w:val="22"/>
        </w:rPr>
        <w:t>Educ</w:t>
      </w:r>
      <w:proofErr w:type="spellEnd"/>
      <w:r w:rsidRPr="004E5878">
        <w:rPr>
          <w:sz w:val="22"/>
        </w:rPr>
        <w:t xml:space="preserve"> </w:t>
      </w:r>
      <w:proofErr w:type="spellStart"/>
      <w:r w:rsidRPr="004E5878">
        <w:rPr>
          <w:sz w:val="22"/>
        </w:rPr>
        <w:t>Méd</w:t>
      </w:r>
      <w:proofErr w:type="spellEnd"/>
      <w:r w:rsidRPr="004E5878">
        <w:rPr>
          <w:sz w:val="22"/>
        </w:rPr>
        <w:t xml:space="preserve"> Super [Internet]. 2023 [citado 2025 feb 10];37(1</w:t>
      </w:r>
      <w:proofErr w:type="gramStart"/>
      <w:r w:rsidRPr="004E5878">
        <w:rPr>
          <w:sz w:val="22"/>
        </w:rPr>
        <w:t>):e</w:t>
      </w:r>
      <w:proofErr w:type="gramEnd"/>
      <w:r w:rsidRPr="004E5878">
        <w:rPr>
          <w:sz w:val="22"/>
        </w:rPr>
        <w:t>3124. Disponible en: http://www.ems.sld.cu/index.php/ems/article/view/3124</w:t>
      </w:r>
    </w:p>
    <w:sectPr w:rsidR="00F30BEB" w:rsidRPr="004E5878">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5144"/>
    <w:multiLevelType w:val="hybridMultilevel"/>
    <w:tmpl w:val="DAA0E062"/>
    <w:lvl w:ilvl="0" w:tplc="8F5C60E6">
      <w:start w:val="1"/>
      <w:numFmt w:val="decimal"/>
      <w:lvlText w:val="%1."/>
      <w:lvlJc w:val="left"/>
      <w:pPr>
        <w:ind w:left="720" w:hanging="360"/>
      </w:pPr>
      <w:rPr>
        <w:rFonts w:hint="default"/>
        <w:b/>
        <w:sz w:val="22"/>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453842B7"/>
    <w:multiLevelType w:val="hybridMultilevel"/>
    <w:tmpl w:val="FFFFFFFF"/>
    <w:lvl w:ilvl="0" w:tplc="7D20A252" w:tentative="1">
      <w:start w:val="1"/>
      <w:numFmt w:val="bullet"/>
      <w:lvlText w:val="●"/>
      <w:lvlJc w:val="left"/>
      <w:pPr>
        <w:ind w:left="720" w:hanging="360"/>
      </w:pPr>
    </w:lvl>
    <w:lvl w:ilvl="1" w:tplc="9AF40C7A" w:tentative="1">
      <w:start w:val="1"/>
      <w:numFmt w:val="bullet"/>
      <w:lvlText w:val="○"/>
      <w:lvlJc w:val="left"/>
      <w:pPr>
        <w:ind w:left="1440" w:hanging="360"/>
      </w:pPr>
    </w:lvl>
    <w:lvl w:ilvl="2" w:tplc="1EB69A82" w:tentative="1">
      <w:start w:val="1"/>
      <w:numFmt w:val="bullet"/>
      <w:lvlText w:val="■"/>
      <w:lvlJc w:val="left"/>
      <w:pPr>
        <w:ind w:left="2160" w:hanging="360"/>
      </w:pPr>
    </w:lvl>
    <w:lvl w:ilvl="3" w:tplc="1060B4CE" w:tentative="1">
      <w:start w:val="1"/>
      <w:numFmt w:val="bullet"/>
      <w:lvlText w:val="●"/>
      <w:lvlJc w:val="left"/>
      <w:pPr>
        <w:ind w:left="2880" w:hanging="360"/>
      </w:pPr>
    </w:lvl>
    <w:lvl w:ilvl="4" w:tplc="D618F6CE" w:tentative="1">
      <w:start w:val="1"/>
      <w:numFmt w:val="bullet"/>
      <w:lvlText w:val="○"/>
      <w:lvlJc w:val="left"/>
      <w:pPr>
        <w:ind w:left="3600" w:hanging="360"/>
      </w:pPr>
    </w:lvl>
    <w:lvl w:ilvl="5" w:tplc="095684E8" w:tentative="1">
      <w:start w:val="1"/>
      <w:numFmt w:val="bullet"/>
      <w:lvlText w:val="■"/>
      <w:lvlJc w:val="left"/>
      <w:pPr>
        <w:ind w:left="4320" w:hanging="360"/>
      </w:pPr>
    </w:lvl>
    <w:lvl w:ilvl="6" w:tplc="1D2A345E" w:tentative="1">
      <w:start w:val="1"/>
      <w:numFmt w:val="bullet"/>
      <w:lvlText w:val="●"/>
      <w:lvlJc w:val="left"/>
      <w:pPr>
        <w:ind w:left="5040" w:hanging="360"/>
      </w:pPr>
    </w:lvl>
    <w:lvl w:ilvl="7" w:tplc="5920B7E2" w:tentative="1">
      <w:start w:val="1"/>
      <w:numFmt w:val="bullet"/>
      <w:lvlText w:val="●"/>
      <w:lvlJc w:val="left"/>
      <w:pPr>
        <w:ind w:left="5760" w:hanging="360"/>
      </w:pPr>
    </w:lvl>
    <w:lvl w:ilvl="8" w:tplc="D3D668E8" w:tentative="1">
      <w:start w:val="1"/>
      <w:numFmt w:val="bullet"/>
      <w:lvlText w:val="●"/>
      <w:lvlJc w:val="left"/>
      <w:pPr>
        <w:ind w:left="6480" w:hanging="360"/>
      </w:pPr>
    </w:lvl>
  </w:abstractNum>
  <w:abstractNum w:abstractNumId="2" w15:restartNumberingAfterBreak="0">
    <w:nsid w:val="51666A27"/>
    <w:multiLevelType w:val="hybridMultilevel"/>
    <w:tmpl w:val="424A763A"/>
    <w:lvl w:ilvl="0" w:tplc="5D2E30BE">
      <w:start w:val="1"/>
      <w:numFmt w:val="decimal"/>
      <w:lvlText w:val="%1."/>
      <w:lvlJc w:val="left"/>
      <w:pPr>
        <w:ind w:left="720" w:hanging="36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389502615">
    <w:abstractNumId w:val="1"/>
    <w:lvlOverride w:ilvl="0">
      <w:startOverride w:val="1"/>
    </w:lvlOverride>
  </w:num>
  <w:num w:numId="2" w16cid:durableId="1961380763">
    <w:abstractNumId w:val="0"/>
  </w:num>
  <w:num w:numId="3" w16cid:durableId="397672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EB"/>
    <w:rsid w:val="000A2FDF"/>
    <w:rsid w:val="00290992"/>
    <w:rsid w:val="004E5878"/>
    <w:rsid w:val="004F5DB3"/>
    <w:rsid w:val="00C04F09"/>
    <w:rsid w:val="00D35899"/>
    <w:rsid w:val="00F30BE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54C4"/>
  <w15:docId w15:val="{51680658-2C17-43B5-A8BB-1A440FD2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tulo11">
    <w:name w:val="Título 11"/>
    <w:qFormat/>
    <w:pPr>
      <w:spacing w:before="300" w:after="150"/>
      <w:outlineLvl w:val="0"/>
    </w:pPr>
    <w:rPr>
      <w:b/>
      <w:bCs/>
      <w:color w:val="1F4E79"/>
      <w:sz w:val="28"/>
      <w:szCs w:val="28"/>
    </w:rPr>
  </w:style>
  <w:style w:type="paragraph" w:customStyle="1" w:styleId="Ttulo21">
    <w:name w:val="Título 21"/>
    <w:qFormat/>
    <w:pPr>
      <w:spacing w:before="200" w:after="80"/>
      <w:outlineLvl w:val="1"/>
    </w:pPr>
    <w:rPr>
      <w:b/>
      <w:bCs/>
      <w:color w:val="2E75B6"/>
      <w:sz w:val="23"/>
      <w:szCs w:val="23"/>
    </w:rPr>
  </w:style>
  <w:style w:type="paragraph" w:customStyle="1" w:styleId="Ttulo31">
    <w:name w:val="Título 31"/>
    <w:qFormat/>
    <w:rPr>
      <w:color w:val="1F4D78"/>
      <w:sz w:val="24"/>
      <w:szCs w:val="24"/>
    </w:rPr>
  </w:style>
  <w:style w:type="paragraph" w:customStyle="1" w:styleId="Ttulo41">
    <w:name w:val="Título 41"/>
    <w:qFormat/>
    <w:rPr>
      <w:i/>
      <w:iCs/>
      <w:color w:val="2E74B5"/>
    </w:rPr>
  </w:style>
  <w:style w:type="paragraph" w:customStyle="1" w:styleId="Ttulo51">
    <w:name w:val="Título 51"/>
    <w:qFormat/>
    <w:rPr>
      <w:color w:val="2E74B5"/>
    </w:rPr>
  </w:style>
  <w:style w:type="paragraph" w:customStyle="1" w:styleId="Ttulo61">
    <w:name w:val="Título 61"/>
    <w:qFormat/>
    <w:rPr>
      <w:color w:val="1F4D78"/>
    </w:rPr>
  </w:style>
  <w:style w:type="paragraph" w:customStyle="1" w:styleId="Strong1050d1c3-7350-4ab5-9e25-bc8c45d3f74f">
    <w:name w:val="Strong_1050d1c3-7350-4ab5-9e25-bc8c45d3f74f"/>
    <w:qFormat/>
    <w:rPr>
      <w:b/>
      <w:bCs/>
    </w:rPr>
  </w:style>
  <w:style w:type="paragraph" w:styleId="Prrafodelista">
    <w:name w:val="List Paragraph"/>
    <w:qFormat/>
  </w:style>
  <w:style w:type="character" w:styleId="Hipervnculo">
    <w:name w:val="Hyperlink"/>
    <w:uiPriority w:val="99"/>
    <w:rPr>
      <w:color w:val="0563C1"/>
      <w:u w:val="single"/>
    </w:rPr>
  </w:style>
  <w:style w:type="character" w:styleId="Refdenotaalpie">
    <w:name w:val="footnote reference"/>
    <w:uiPriority w:val="99"/>
    <w:rPr>
      <w:vertAlign w:val="superscript"/>
    </w:rPr>
  </w:style>
  <w:style w:type="paragraph" w:styleId="Textonotapie">
    <w:name w:val="footnote text"/>
    <w:link w:val="TextonotapieCar"/>
    <w:uiPriority w:val="99"/>
    <w:rPr>
      <w:sz w:val="20"/>
      <w:szCs w:val="20"/>
    </w:rPr>
  </w:style>
  <w:style w:type="character" w:customStyle="1" w:styleId="TextonotapieCar">
    <w:name w:val="Texto nota pie Car"/>
    <w:link w:val="Textonotapi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2870</Words>
  <Characters>15789</Characters>
  <Application>Microsoft Office Word</Application>
  <DocSecurity>0</DocSecurity>
  <Lines>131</Lines>
  <Paragraphs>37</Paragraphs>
  <ScaleCrop>false</ScaleCrop>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Pedro</cp:lastModifiedBy>
  <cp:revision>4</cp:revision>
  <dcterms:created xsi:type="dcterms:W3CDTF">2026-02-28T23:01:00Z</dcterms:created>
  <dcterms:modified xsi:type="dcterms:W3CDTF">2026-06-20T18:15:00Z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f00e03aa133b4bb0be63af245f780941</vt:lpwstr>
  </property>
</Properties>
</file>